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7BE4" w14:textId="77777777" w:rsidR="00A13853" w:rsidRPr="00942386" w:rsidRDefault="00743961" w:rsidP="002E7BC4">
      <w:pPr>
        <w:pStyle w:val="Intestazione"/>
        <w:jc w:val="center"/>
        <w:rPr>
          <w:rFonts w:ascii="Tahoma" w:hAnsi="Tahoma" w:cs="Tahoma"/>
          <w:sz w:val="20"/>
          <w:szCs w:val="20"/>
        </w:rPr>
      </w:pPr>
      <w:r w:rsidRPr="00942386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AE331D4" wp14:editId="08FB64D1">
            <wp:extent cx="1790700" cy="1321159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T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46" cy="135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3B552" w14:textId="77777777" w:rsidR="00A13853" w:rsidRPr="00942386" w:rsidRDefault="00A13853" w:rsidP="002E7BC4">
      <w:pPr>
        <w:tabs>
          <w:tab w:val="center" w:pos="4819"/>
          <w:tab w:val="right" w:pos="9638"/>
        </w:tabs>
        <w:ind w:right="283"/>
        <w:jc w:val="both"/>
        <w:rPr>
          <w:rFonts w:eastAsia="Times New Roman" w:cs="Tahoma"/>
          <w:szCs w:val="20"/>
          <w:lang w:eastAsia="it-IT"/>
        </w:rPr>
      </w:pPr>
    </w:p>
    <w:p w14:paraId="0A2FB5F4" w14:textId="154D56D4" w:rsidR="00940CF4" w:rsidRPr="00942386" w:rsidRDefault="00676B0E" w:rsidP="00973EA9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b/>
          <w:szCs w:val="20"/>
          <w:lang w:eastAsia="it-IT"/>
        </w:rPr>
      </w:pPr>
      <w:r w:rsidRPr="00942386">
        <w:rPr>
          <w:rFonts w:eastAsia="Times New Roman" w:cs="Tahoma"/>
          <w:b/>
          <w:szCs w:val="20"/>
          <w:lang w:eastAsia="it-IT"/>
        </w:rPr>
        <w:t xml:space="preserve">VERBALE INCONTRO T.T. </w:t>
      </w:r>
      <w:r w:rsidR="002D6E24">
        <w:rPr>
          <w:rFonts w:eastAsia="Times New Roman" w:cs="Tahoma"/>
          <w:b/>
          <w:szCs w:val="20"/>
          <w:lang w:eastAsia="it-IT"/>
        </w:rPr>
        <w:t>0</w:t>
      </w:r>
      <w:r w:rsidR="00356F45">
        <w:rPr>
          <w:rFonts w:eastAsia="Times New Roman" w:cs="Tahoma"/>
          <w:b/>
          <w:szCs w:val="20"/>
          <w:lang w:eastAsia="it-IT"/>
        </w:rPr>
        <w:t>2</w:t>
      </w:r>
      <w:r w:rsidR="002D6E24">
        <w:rPr>
          <w:rFonts w:eastAsia="Times New Roman" w:cs="Tahoma"/>
          <w:b/>
          <w:szCs w:val="20"/>
          <w:lang w:eastAsia="it-IT"/>
        </w:rPr>
        <w:t>.</w:t>
      </w:r>
      <w:r w:rsidR="00356F45">
        <w:rPr>
          <w:rFonts w:eastAsia="Times New Roman" w:cs="Tahoma"/>
          <w:b/>
          <w:szCs w:val="20"/>
          <w:lang w:eastAsia="it-IT"/>
        </w:rPr>
        <w:t>04</w:t>
      </w:r>
      <w:r w:rsidR="002D2EBA">
        <w:rPr>
          <w:rFonts w:eastAsia="Times New Roman" w:cs="Tahoma"/>
          <w:b/>
          <w:szCs w:val="20"/>
          <w:lang w:eastAsia="it-IT"/>
        </w:rPr>
        <w:t>.202</w:t>
      </w:r>
      <w:r w:rsidR="00356F45">
        <w:rPr>
          <w:rFonts w:eastAsia="Times New Roman" w:cs="Tahoma"/>
          <w:b/>
          <w:szCs w:val="20"/>
          <w:lang w:eastAsia="it-IT"/>
        </w:rPr>
        <w:t>5</w:t>
      </w:r>
    </w:p>
    <w:p w14:paraId="6363F6BA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lang w:eastAsia="it-IT"/>
        </w:rPr>
      </w:pPr>
    </w:p>
    <w:p w14:paraId="1B43A032" w14:textId="43D70A4C" w:rsidR="005B7EB1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In data </w:t>
      </w:r>
      <w:proofErr w:type="gramStart"/>
      <w:r w:rsidR="00356F45">
        <w:rPr>
          <w:rFonts w:eastAsia="Times New Roman" w:cs="Tahoma"/>
          <w:szCs w:val="20"/>
          <w:lang w:eastAsia="it-IT"/>
        </w:rPr>
        <w:t>02  Aprile</w:t>
      </w:r>
      <w:proofErr w:type="gramEnd"/>
      <w:r w:rsidR="00356F45">
        <w:rPr>
          <w:rFonts w:eastAsia="Times New Roman" w:cs="Tahoma"/>
          <w:szCs w:val="20"/>
          <w:lang w:eastAsia="it-IT"/>
        </w:rPr>
        <w:t xml:space="preserve"> 2025</w:t>
      </w:r>
      <w:r w:rsidRPr="00942386">
        <w:rPr>
          <w:rFonts w:eastAsia="Times New Roman" w:cs="Tahoma"/>
          <w:szCs w:val="20"/>
          <w:lang w:eastAsia="it-IT"/>
        </w:rPr>
        <w:t xml:space="preserve"> presso </w:t>
      </w:r>
      <w:r w:rsidR="00356F45">
        <w:rPr>
          <w:rFonts w:eastAsia="Times New Roman" w:cs="Tahoma"/>
          <w:szCs w:val="20"/>
          <w:lang w:eastAsia="it-IT"/>
        </w:rPr>
        <w:t>la sala conferenze di Confindustria ad Imperia</w:t>
      </w:r>
      <w:r w:rsidRPr="00942386">
        <w:rPr>
          <w:rFonts w:eastAsia="Times New Roman" w:cs="Tahoma"/>
          <w:szCs w:val="20"/>
          <w:lang w:eastAsia="it-IT"/>
        </w:rPr>
        <w:t xml:space="preserve">, </w:t>
      </w:r>
      <w:r w:rsidR="00356F45">
        <w:rPr>
          <w:rFonts w:eastAsia="Times New Roman" w:cs="Tahoma"/>
          <w:szCs w:val="20"/>
          <w:lang w:eastAsia="it-IT"/>
        </w:rPr>
        <w:t>C.so Mar</w:t>
      </w:r>
      <w:r w:rsidRPr="00942386">
        <w:rPr>
          <w:rFonts w:eastAsia="Times New Roman" w:cs="Tahoma"/>
          <w:szCs w:val="20"/>
          <w:lang w:eastAsia="it-IT"/>
        </w:rPr>
        <w:t xml:space="preserve">si è tenuto </w:t>
      </w:r>
      <w:r w:rsidR="00E2040A" w:rsidRPr="00942386">
        <w:rPr>
          <w:rFonts w:eastAsia="Times New Roman" w:cs="Tahoma"/>
          <w:szCs w:val="20"/>
          <w:lang w:eastAsia="it-IT"/>
        </w:rPr>
        <w:t>l’</w:t>
      </w:r>
      <w:r w:rsidRPr="00942386">
        <w:rPr>
          <w:rFonts w:eastAsia="Times New Roman" w:cs="Tahoma"/>
          <w:szCs w:val="20"/>
          <w:lang w:eastAsia="it-IT"/>
        </w:rPr>
        <w:t>incontro del “Tavolo Tecnico”.</w:t>
      </w:r>
    </w:p>
    <w:p w14:paraId="66E42232" w14:textId="77777777" w:rsidR="005B7EB1" w:rsidRDefault="005B7EB1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0CFD3A67" w14:textId="357BBBE5" w:rsidR="00940CF4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Erano presenti: </w:t>
      </w:r>
    </w:p>
    <w:p w14:paraId="2F4998E8" w14:textId="77777777" w:rsidR="005B7EB1" w:rsidRPr="00942386" w:rsidRDefault="005B7EB1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9B64C6B" w14:textId="5D519C15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l’ASL 1: Dott. Salvatore Mazzarella</w:t>
      </w:r>
      <w:r w:rsidR="00584BE5" w:rsidRPr="00942386">
        <w:rPr>
          <w:rFonts w:eastAsia="Times New Roman" w:cs="Tahoma"/>
          <w:szCs w:val="20"/>
          <w:lang w:eastAsia="it-IT"/>
        </w:rPr>
        <w:t xml:space="preserve">, </w:t>
      </w:r>
      <w:r w:rsidR="00DD6181">
        <w:rPr>
          <w:rFonts w:eastAsia="Times New Roman" w:cs="Tahoma"/>
          <w:szCs w:val="20"/>
          <w:lang w:eastAsia="it-IT"/>
        </w:rPr>
        <w:t xml:space="preserve">Ing. </w:t>
      </w:r>
      <w:proofErr w:type="spellStart"/>
      <w:r w:rsidR="00DD6181">
        <w:rPr>
          <w:rFonts w:eastAsia="Times New Roman" w:cs="Tahoma"/>
          <w:szCs w:val="20"/>
          <w:lang w:eastAsia="it-IT"/>
        </w:rPr>
        <w:t>Dellac</w:t>
      </w:r>
      <w:r w:rsidR="00563CD3">
        <w:rPr>
          <w:rFonts w:eastAsia="Times New Roman" w:cs="Tahoma"/>
          <w:szCs w:val="20"/>
          <w:lang w:eastAsia="it-IT"/>
        </w:rPr>
        <w:t>à</w:t>
      </w:r>
      <w:proofErr w:type="spellEnd"/>
      <w:r w:rsidR="00563CD3">
        <w:rPr>
          <w:rFonts w:eastAsia="Times New Roman" w:cs="Tahoma"/>
          <w:szCs w:val="20"/>
          <w:lang w:eastAsia="it-IT"/>
        </w:rPr>
        <w:t xml:space="preserve">, Ispettore Roman </w:t>
      </w:r>
      <w:proofErr w:type="spellStart"/>
      <w:r w:rsidR="00563CD3">
        <w:rPr>
          <w:rFonts w:eastAsia="Times New Roman" w:cs="Tahoma"/>
          <w:szCs w:val="20"/>
          <w:lang w:eastAsia="it-IT"/>
        </w:rPr>
        <w:t>Scarselletta</w:t>
      </w:r>
      <w:proofErr w:type="spellEnd"/>
    </w:p>
    <w:p w14:paraId="119E9E42" w14:textId="2BB2D123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l’INL: </w:t>
      </w:r>
      <w:proofErr w:type="spellStart"/>
      <w:r w:rsidR="007A11C3" w:rsidRPr="00942386">
        <w:rPr>
          <w:rFonts w:eastAsia="Times New Roman" w:cs="Tahoma"/>
          <w:szCs w:val="20"/>
          <w:lang w:eastAsia="it-IT"/>
        </w:rPr>
        <w:t>L’isp</w:t>
      </w:r>
      <w:proofErr w:type="spellEnd"/>
      <w:r w:rsidR="007A11C3" w:rsidRPr="00942386">
        <w:rPr>
          <w:rFonts w:eastAsia="Times New Roman" w:cs="Tahoma"/>
          <w:szCs w:val="20"/>
          <w:lang w:eastAsia="it-IT"/>
        </w:rPr>
        <w:t xml:space="preserve">. </w:t>
      </w:r>
      <w:r w:rsidR="00584BE5" w:rsidRPr="00942386">
        <w:rPr>
          <w:rFonts w:eastAsia="Times New Roman" w:cs="Tahoma"/>
          <w:szCs w:val="20"/>
          <w:lang w:eastAsia="it-IT"/>
        </w:rPr>
        <w:t>Bernardini</w:t>
      </w:r>
      <w:r w:rsidR="007A11C3" w:rsidRPr="00942386">
        <w:rPr>
          <w:rFonts w:eastAsia="Times New Roman" w:cs="Tahoma"/>
          <w:szCs w:val="20"/>
          <w:lang w:eastAsia="it-IT"/>
        </w:rPr>
        <w:t xml:space="preserve"> Ing. Francesco Paolo</w:t>
      </w:r>
    </w:p>
    <w:p w14:paraId="20688BBE" w14:textId="6381E40C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l’Area Sicurezza: Ing. Paola Fognini, Geom. Gianni Anfossi</w:t>
      </w:r>
      <w:r w:rsidR="00BB1DD9" w:rsidRPr="00942386">
        <w:rPr>
          <w:rFonts w:eastAsia="Times New Roman" w:cs="Tahoma"/>
          <w:szCs w:val="20"/>
          <w:lang w:eastAsia="it-IT"/>
        </w:rPr>
        <w:t xml:space="preserve"> </w:t>
      </w:r>
      <w:r w:rsidR="00356F45">
        <w:rPr>
          <w:rFonts w:eastAsia="Times New Roman" w:cs="Tahoma"/>
          <w:szCs w:val="20"/>
          <w:lang w:eastAsia="it-IT"/>
        </w:rPr>
        <w:t xml:space="preserve">- </w:t>
      </w:r>
    </w:p>
    <w:p w14:paraId="21E75D5C" w14:textId="01B37D14" w:rsidR="00584BE5" w:rsidRPr="00942386" w:rsidRDefault="00584BE5" w:rsidP="00584BE5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Dott.ssa </w:t>
      </w:r>
      <w:r w:rsidR="00563CD3">
        <w:rPr>
          <w:rFonts w:eastAsia="Times New Roman" w:cs="Tahoma"/>
          <w:szCs w:val="20"/>
          <w:lang w:eastAsia="it-IT"/>
        </w:rPr>
        <w:t xml:space="preserve">Giovanna </w:t>
      </w:r>
      <w:proofErr w:type="spellStart"/>
      <w:r w:rsidR="00563CD3">
        <w:rPr>
          <w:rFonts w:eastAsia="Times New Roman" w:cs="Tahoma"/>
          <w:szCs w:val="20"/>
          <w:lang w:eastAsia="it-IT"/>
        </w:rPr>
        <w:t>Cannonero</w:t>
      </w:r>
      <w:proofErr w:type="spellEnd"/>
      <w:r w:rsidR="002D2EBA">
        <w:rPr>
          <w:rFonts w:eastAsia="Times New Roman" w:cs="Tahoma"/>
          <w:szCs w:val="20"/>
          <w:lang w:eastAsia="it-IT"/>
        </w:rPr>
        <w:t xml:space="preserve"> </w:t>
      </w:r>
      <w:r w:rsidR="00356F45">
        <w:rPr>
          <w:rFonts w:eastAsia="Times New Roman" w:cs="Tahoma"/>
          <w:szCs w:val="20"/>
          <w:lang w:eastAsia="it-IT"/>
        </w:rPr>
        <w:t>-</w:t>
      </w:r>
      <w:proofErr w:type="gramStart"/>
      <w:r w:rsidR="00356F45">
        <w:rPr>
          <w:rFonts w:eastAsia="Times New Roman" w:cs="Tahoma"/>
          <w:szCs w:val="20"/>
          <w:lang w:eastAsia="it-IT"/>
        </w:rPr>
        <w:t>INAIL :</w:t>
      </w:r>
      <w:proofErr w:type="gramEnd"/>
      <w:r w:rsidRPr="00942386">
        <w:rPr>
          <w:rFonts w:eastAsia="Times New Roman" w:cs="Tahoma"/>
          <w:szCs w:val="20"/>
          <w:lang w:eastAsia="it-IT"/>
        </w:rPr>
        <w:t xml:space="preserve"> </w:t>
      </w:r>
      <w:r w:rsidR="00356F45">
        <w:rPr>
          <w:rFonts w:eastAsia="Times New Roman" w:cs="Tahoma"/>
          <w:szCs w:val="20"/>
          <w:lang w:eastAsia="it-IT"/>
        </w:rPr>
        <w:t>Assente giustificato</w:t>
      </w:r>
    </w:p>
    <w:p w14:paraId="65C5CA84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FF729A1" w14:textId="77777777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Membri aggiunti:</w:t>
      </w:r>
    </w:p>
    <w:p w14:paraId="7804F31B" w14:textId="52DF9BF2" w:rsidR="00940CF4" w:rsidRPr="00942386" w:rsidRDefault="00940CF4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l’Ordine degli Architetti: </w:t>
      </w:r>
      <w:r w:rsidR="00584BE5" w:rsidRPr="00942386">
        <w:rPr>
          <w:rFonts w:eastAsia="Times New Roman" w:cs="Tahoma"/>
          <w:szCs w:val="20"/>
          <w:lang w:eastAsia="it-IT"/>
        </w:rPr>
        <w:t>Arch. Fausto De Luca</w:t>
      </w:r>
      <w:r w:rsidR="002D2EBA">
        <w:rPr>
          <w:rFonts w:eastAsia="Times New Roman" w:cs="Tahoma"/>
          <w:szCs w:val="20"/>
          <w:lang w:eastAsia="it-IT"/>
        </w:rPr>
        <w:t xml:space="preserve"> – Arch. Flore</w:t>
      </w:r>
    </w:p>
    <w:p w14:paraId="6E924C1C" w14:textId="7D7EC8FA" w:rsidR="00584BE5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Per L’Ordine dei</w:t>
      </w:r>
      <w:r w:rsidR="00584BE5" w:rsidRPr="00942386">
        <w:rPr>
          <w:rFonts w:eastAsia="Times New Roman" w:cs="Tahoma"/>
          <w:szCs w:val="20"/>
          <w:lang w:eastAsia="it-IT"/>
        </w:rPr>
        <w:t xml:space="preserve"> TSRM: Dott. Francesco </w:t>
      </w:r>
      <w:proofErr w:type="spellStart"/>
      <w:r w:rsidR="00584BE5" w:rsidRPr="00942386">
        <w:rPr>
          <w:rFonts w:eastAsia="Times New Roman" w:cs="Tahoma"/>
          <w:szCs w:val="20"/>
          <w:lang w:eastAsia="it-IT"/>
        </w:rPr>
        <w:t>Rotomondo</w:t>
      </w:r>
      <w:proofErr w:type="spellEnd"/>
    </w:p>
    <w:p w14:paraId="4E1D21A8" w14:textId="012D34D0" w:rsidR="00E2040A" w:rsidRPr="00942386" w:rsidRDefault="00584BE5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Per </w:t>
      </w:r>
      <w:r w:rsidR="007A11C3" w:rsidRPr="00942386">
        <w:rPr>
          <w:rFonts w:eastAsia="Times New Roman" w:cs="Tahoma"/>
          <w:szCs w:val="20"/>
          <w:lang w:eastAsia="it-IT"/>
        </w:rPr>
        <w:t>L</w:t>
      </w:r>
      <w:r w:rsidRPr="00942386">
        <w:rPr>
          <w:rFonts w:eastAsia="Times New Roman" w:cs="Tahoma"/>
          <w:szCs w:val="20"/>
          <w:lang w:eastAsia="it-IT"/>
        </w:rPr>
        <w:t>’ Ordine degli Ingegneri: Ing. Fabio Sappia</w:t>
      </w:r>
    </w:p>
    <w:p w14:paraId="4EA0F688" w14:textId="3E4FB9F9" w:rsidR="00E2040A" w:rsidRPr="00942386" w:rsidRDefault="00563CD3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P.I. Luca Gallo: Assente giustificato</w:t>
      </w:r>
    </w:p>
    <w:p w14:paraId="5E2DE8C8" w14:textId="3463C844" w:rsidR="00563CD3" w:rsidRDefault="00356F45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Geom. Davide Sgrò</w:t>
      </w:r>
      <w:r>
        <w:rPr>
          <w:rFonts w:eastAsia="Times New Roman" w:cs="Tahoma"/>
          <w:szCs w:val="20"/>
          <w:lang w:eastAsia="it-IT"/>
        </w:rPr>
        <w:t>: Assente giustificato</w:t>
      </w:r>
    </w:p>
    <w:p w14:paraId="6441218D" w14:textId="77777777" w:rsidR="00356F45" w:rsidRDefault="00356F45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01EAAB5" w14:textId="139E57F5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RLST UIL: </w:t>
      </w:r>
      <w:proofErr w:type="spellStart"/>
      <w:r w:rsidRPr="00942386">
        <w:rPr>
          <w:rFonts w:eastAsia="Times New Roman" w:cs="Tahoma"/>
          <w:szCs w:val="20"/>
          <w:lang w:eastAsia="it-IT"/>
        </w:rPr>
        <w:t>Aliosha</w:t>
      </w:r>
      <w:proofErr w:type="spellEnd"/>
      <w:r w:rsidRPr="00942386">
        <w:rPr>
          <w:rFonts w:eastAsia="Times New Roman" w:cs="Tahoma"/>
          <w:szCs w:val="20"/>
          <w:lang w:eastAsia="it-IT"/>
        </w:rPr>
        <w:t xml:space="preserve"> Castagna</w:t>
      </w:r>
    </w:p>
    <w:p w14:paraId="0415C2DE" w14:textId="3CA1106B" w:rsidR="00E2040A" w:rsidRDefault="002D2EB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RLST CISL: Luca De Leonibus</w:t>
      </w:r>
    </w:p>
    <w:p w14:paraId="45116123" w14:textId="09FFBE7A" w:rsidR="00563CD3" w:rsidRDefault="00563CD3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RLST CGIL: Andrea Ricupero</w:t>
      </w:r>
    </w:p>
    <w:p w14:paraId="4BE1D3B5" w14:textId="77777777" w:rsidR="002D2EBA" w:rsidRPr="00942386" w:rsidRDefault="002D2EB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1E65453F" w14:textId="333B0D7C" w:rsidR="00BB1DD9" w:rsidRPr="00942386" w:rsidRDefault="00BB1DD9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Ospiti: </w:t>
      </w:r>
    </w:p>
    <w:p w14:paraId="5F8C09E2" w14:textId="6C8A9BDD" w:rsidR="00BB1DD9" w:rsidRPr="00942386" w:rsidRDefault="00BB1DD9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 xml:space="preserve">Geom. Fresu Roberto </w:t>
      </w:r>
      <w:r w:rsidR="00356F45">
        <w:rPr>
          <w:rFonts w:eastAsia="Times New Roman" w:cs="Tahoma"/>
          <w:szCs w:val="20"/>
          <w:lang w:eastAsia="it-IT"/>
        </w:rPr>
        <w:t>-</w:t>
      </w:r>
      <w:proofErr w:type="spellStart"/>
      <w:r w:rsidRPr="00942386">
        <w:rPr>
          <w:rFonts w:eastAsia="Times New Roman" w:cs="Tahoma"/>
          <w:szCs w:val="20"/>
          <w:lang w:eastAsia="it-IT"/>
        </w:rPr>
        <w:t>Coll</w:t>
      </w:r>
      <w:proofErr w:type="spellEnd"/>
      <w:r w:rsidR="00356F45">
        <w:rPr>
          <w:rFonts w:eastAsia="Times New Roman" w:cs="Tahoma"/>
          <w:szCs w:val="20"/>
          <w:lang w:eastAsia="it-IT"/>
        </w:rPr>
        <w:t>.</w:t>
      </w:r>
      <w:r w:rsidRPr="00942386">
        <w:rPr>
          <w:rFonts w:eastAsia="Times New Roman" w:cs="Tahoma"/>
          <w:szCs w:val="20"/>
          <w:lang w:eastAsia="it-IT"/>
        </w:rPr>
        <w:t xml:space="preserve"> Area Sicurezza SEI-CPT</w:t>
      </w:r>
      <w:r w:rsidR="00356F45">
        <w:rPr>
          <w:rFonts w:eastAsia="Times New Roman" w:cs="Tahoma"/>
          <w:szCs w:val="20"/>
          <w:lang w:eastAsia="it-IT"/>
        </w:rPr>
        <w:t xml:space="preserve"> - Geom. </w:t>
      </w:r>
      <w:proofErr w:type="gramStart"/>
      <w:r w:rsidR="00356F45">
        <w:rPr>
          <w:rFonts w:eastAsia="Times New Roman" w:cs="Tahoma"/>
          <w:szCs w:val="20"/>
          <w:lang w:eastAsia="it-IT"/>
        </w:rPr>
        <w:t>Michela  Brugnera</w:t>
      </w:r>
      <w:proofErr w:type="gramEnd"/>
      <w:r w:rsidR="00356F45">
        <w:rPr>
          <w:rFonts w:eastAsia="Times New Roman" w:cs="Tahoma"/>
          <w:szCs w:val="20"/>
          <w:lang w:eastAsia="it-IT"/>
        </w:rPr>
        <w:t xml:space="preserve">  (Tirocinante SEI-</w:t>
      </w:r>
      <w:proofErr w:type="gramStart"/>
      <w:r w:rsidR="00356F45">
        <w:rPr>
          <w:rFonts w:eastAsia="Times New Roman" w:cs="Tahoma"/>
          <w:szCs w:val="20"/>
          <w:lang w:eastAsia="it-IT"/>
        </w:rPr>
        <w:t>CPT )</w:t>
      </w:r>
      <w:proofErr w:type="gramEnd"/>
    </w:p>
    <w:p w14:paraId="50BBC91B" w14:textId="77777777" w:rsidR="00E2040A" w:rsidRPr="00942386" w:rsidRDefault="00E2040A" w:rsidP="00940CF4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B059D81" w14:textId="2AF495BD" w:rsidR="00AB5361" w:rsidRPr="00942386" w:rsidRDefault="007A11C3" w:rsidP="00AB5361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942386">
        <w:rPr>
          <w:rFonts w:eastAsia="Times New Roman" w:cs="Tahoma"/>
          <w:szCs w:val="20"/>
          <w:lang w:eastAsia="it-IT"/>
        </w:rPr>
        <w:t>In</w:t>
      </w:r>
      <w:r w:rsidR="00AB5361" w:rsidRPr="00942386">
        <w:rPr>
          <w:rFonts w:eastAsia="Times New Roman" w:cs="Tahoma"/>
          <w:szCs w:val="20"/>
          <w:lang w:eastAsia="it-IT"/>
        </w:rPr>
        <w:t xml:space="preserve"> riferimento </w:t>
      </w:r>
      <w:r w:rsidR="00BB1DD9" w:rsidRPr="00942386">
        <w:rPr>
          <w:rFonts w:eastAsia="Times New Roman" w:cs="Tahoma"/>
          <w:szCs w:val="20"/>
          <w:lang w:eastAsia="it-IT"/>
        </w:rPr>
        <w:t>all’ordine del giorno riportato in convocazione</w:t>
      </w:r>
      <w:r w:rsidR="00AB5361" w:rsidRPr="00942386">
        <w:rPr>
          <w:rFonts w:eastAsia="Times New Roman" w:cs="Tahoma"/>
          <w:szCs w:val="20"/>
          <w:lang w:eastAsia="it-IT"/>
        </w:rPr>
        <w:t>, si riporta</w:t>
      </w:r>
      <w:r w:rsidR="005B7EB1">
        <w:rPr>
          <w:rFonts w:eastAsia="Times New Roman" w:cs="Tahoma"/>
          <w:szCs w:val="20"/>
          <w:lang w:eastAsia="it-IT"/>
        </w:rPr>
        <w:t xml:space="preserve"> quanto</w:t>
      </w:r>
      <w:r w:rsidR="00AB5361" w:rsidRPr="00942386">
        <w:rPr>
          <w:rFonts w:eastAsia="Times New Roman" w:cs="Tahoma"/>
          <w:szCs w:val="20"/>
          <w:lang w:eastAsia="it-IT"/>
        </w:rPr>
        <w:t xml:space="preserve"> condivis</w:t>
      </w:r>
      <w:r w:rsidR="005B7EB1">
        <w:rPr>
          <w:rFonts w:eastAsia="Times New Roman" w:cs="Tahoma"/>
          <w:szCs w:val="20"/>
          <w:lang w:eastAsia="it-IT"/>
        </w:rPr>
        <w:t>o</w:t>
      </w:r>
      <w:r w:rsidR="00AB5361" w:rsidRPr="00942386">
        <w:rPr>
          <w:rFonts w:eastAsia="Times New Roman" w:cs="Tahoma"/>
          <w:szCs w:val="20"/>
          <w:lang w:eastAsia="it-IT"/>
        </w:rPr>
        <w:t xml:space="preserve"> dai presenti all’incontro, rammentando che, come già ricordato nel Protocollo di istituzione del TT le interpretazioni elaborate esprimono 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 xml:space="preserve">“esclusivamente la sintesi del pensiero dei rappresentanti degli Enti Promotori. Tali elaborati, quindi, non costituendo risposte ad Interpello ex art. 12 del </w:t>
      </w:r>
      <w:proofErr w:type="spellStart"/>
      <w:r w:rsidR="00AB5361" w:rsidRPr="00942386">
        <w:rPr>
          <w:rFonts w:eastAsia="Times New Roman" w:cs="Tahoma"/>
          <w:i/>
          <w:iCs/>
          <w:szCs w:val="20"/>
          <w:lang w:eastAsia="it-IT"/>
        </w:rPr>
        <w:t>D.Lgs.</w:t>
      </w:r>
      <w:proofErr w:type="spellEnd"/>
      <w:r w:rsidR="00AB5361" w:rsidRPr="00942386">
        <w:rPr>
          <w:rFonts w:eastAsia="Times New Roman" w:cs="Tahoma"/>
          <w:i/>
          <w:iCs/>
          <w:szCs w:val="20"/>
          <w:lang w:eastAsia="it-IT"/>
        </w:rPr>
        <w:t xml:space="preserve"> 81/08 e </w:t>
      </w:r>
      <w:proofErr w:type="spellStart"/>
      <w:r w:rsidR="00AB5361" w:rsidRPr="00942386">
        <w:rPr>
          <w:rFonts w:eastAsia="Times New Roman" w:cs="Tahoma"/>
          <w:i/>
          <w:iCs/>
          <w:szCs w:val="20"/>
          <w:lang w:eastAsia="it-IT"/>
        </w:rPr>
        <w:t>s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m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r w:rsidR="00AB5361" w:rsidRPr="00942386">
        <w:rPr>
          <w:rFonts w:eastAsia="Times New Roman" w:cs="Tahoma"/>
          <w:i/>
          <w:iCs/>
          <w:szCs w:val="20"/>
          <w:lang w:eastAsia="it-IT"/>
        </w:rPr>
        <w:t>i</w:t>
      </w:r>
      <w:r w:rsidRPr="00942386">
        <w:rPr>
          <w:rFonts w:eastAsia="Times New Roman" w:cs="Tahoma"/>
          <w:i/>
          <w:iCs/>
          <w:szCs w:val="20"/>
          <w:lang w:eastAsia="it-IT"/>
        </w:rPr>
        <w:t>.</w:t>
      </w:r>
      <w:proofErr w:type="spellEnd"/>
      <w:r w:rsidR="00AB5361" w:rsidRPr="00942386">
        <w:rPr>
          <w:rFonts w:eastAsia="Times New Roman" w:cs="Tahoma"/>
          <w:i/>
          <w:iCs/>
          <w:szCs w:val="20"/>
          <w:lang w:eastAsia="it-IT"/>
        </w:rPr>
        <w:t>, non avranno carattere impegnativo per le rispettive Amministrazioni di appartenenza”</w:t>
      </w:r>
      <w:r w:rsidR="00AB5361" w:rsidRPr="00942386">
        <w:rPr>
          <w:rFonts w:eastAsia="Times New Roman" w:cs="Tahoma"/>
          <w:szCs w:val="20"/>
          <w:lang w:eastAsia="it-IT"/>
        </w:rPr>
        <w:t xml:space="preserve">. Inoltre, esse saranno da considerare </w:t>
      </w:r>
      <w:r w:rsidR="00AB5361" w:rsidRPr="005B7EB1">
        <w:rPr>
          <w:rFonts w:eastAsia="Times New Roman" w:cs="Tahoma"/>
          <w:i/>
          <w:iCs/>
          <w:szCs w:val="20"/>
          <w:lang w:eastAsia="it-IT"/>
        </w:rPr>
        <w:t>“superate”</w:t>
      </w:r>
      <w:r w:rsidR="00AB5361" w:rsidRPr="00942386">
        <w:rPr>
          <w:rFonts w:eastAsia="Times New Roman" w:cs="Tahoma"/>
          <w:szCs w:val="20"/>
          <w:lang w:eastAsia="it-IT"/>
        </w:rPr>
        <w:t xml:space="preserve"> nel caso vengano emanate norme, interpelli o circolari interpretative ufficiali.</w:t>
      </w:r>
    </w:p>
    <w:p w14:paraId="585CB361" w14:textId="775A7F5B" w:rsidR="00AB5361" w:rsidRPr="00942386" w:rsidRDefault="00AB5361" w:rsidP="00AB5361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3EBE6C4A" w14:textId="51964130" w:rsidR="000854B9" w:rsidRDefault="005B7EB1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  <w:r w:rsidRPr="00942386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ARGOMENTO N.1)</w:t>
      </w:r>
      <w:r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 xml:space="preserve">: </w:t>
      </w:r>
      <w:r w:rsidR="00356F45"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  <w:t>GIORNATA MONDIALE DELLA SICUREZZA 2025</w:t>
      </w:r>
    </w:p>
    <w:p w14:paraId="03C57B1D" w14:textId="77777777" w:rsidR="00356F45" w:rsidRDefault="00356F45" w:rsidP="00942386">
      <w:pPr>
        <w:pStyle w:val="Default"/>
        <w:rPr>
          <w:rFonts w:ascii="Tahoma" w:eastAsia="Times New Roman" w:hAnsi="Tahoma" w:cs="Tahoma"/>
          <w:b/>
          <w:bCs/>
          <w:sz w:val="20"/>
          <w:szCs w:val="20"/>
          <w:u w:val="single"/>
          <w:lang w:eastAsia="it-IT"/>
        </w:rPr>
      </w:pPr>
    </w:p>
    <w:p w14:paraId="7C6DB015" w14:textId="61452E56" w:rsidR="00356F45" w:rsidRPr="00356F45" w:rsidRDefault="00356F45" w:rsidP="00942386">
      <w:pPr>
        <w:pStyle w:val="Default"/>
        <w:rPr>
          <w:rFonts w:ascii="Tahoma" w:eastAsia="Times New Roman" w:hAnsi="Tahoma" w:cs="Tahoma"/>
          <w:sz w:val="20"/>
          <w:szCs w:val="20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Come l’anno scorso,</w:t>
      </w:r>
      <w:r w:rsidR="00472A75">
        <w:rPr>
          <w:rFonts w:ascii="Tahoma" w:eastAsia="Times New Roman" w:hAnsi="Tahoma" w:cs="Tahoma"/>
          <w:sz w:val="20"/>
          <w:szCs w:val="20"/>
          <w:lang w:eastAsia="it-IT"/>
        </w:rPr>
        <w:t xml:space="preserve"> in occasione della celebrazione della “Giornata Mondiale della Sicurezza </w:t>
      </w:r>
      <w:proofErr w:type="gramStart"/>
      <w:r w:rsidR="00472A75">
        <w:rPr>
          <w:rFonts w:ascii="Tahoma" w:eastAsia="Times New Roman" w:hAnsi="Tahoma" w:cs="Tahoma"/>
          <w:sz w:val="20"/>
          <w:szCs w:val="20"/>
          <w:lang w:eastAsia="it-IT"/>
        </w:rPr>
        <w:t>“ ,</w:t>
      </w:r>
      <w:proofErr w:type="gramEnd"/>
      <w:r w:rsidR="00472A75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il SEI-CPT ha intenzione di organizzare una serie di incontri con gli alunni delle classi superiori degli istituti tecnici della nostra Provincia, ai quali si chiede nuovamente di partecipare</w:t>
      </w:r>
      <w:r w:rsidR="00472A75">
        <w:rPr>
          <w:rFonts w:ascii="Tahoma" w:eastAsia="Times New Roman" w:hAnsi="Tahoma" w:cs="Tahoma"/>
          <w:sz w:val="20"/>
          <w:szCs w:val="20"/>
          <w:lang w:eastAsia="it-IT"/>
        </w:rPr>
        <w:t>,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come relatori</w:t>
      </w:r>
      <w:r w:rsidR="00472A75">
        <w:rPr>
          <w:rFonts w:ascii="Tahoma" w:eastAsia="Times New Roman" w:hAnsi="Tahoma" w:cs="Tahoma"/>
          <w:sz w:val="20"/>
          <w:szCs w:val="20"/>
          <w:lang w:eastAsia="it-IT"/>
        </w:rPr>
        <w:t>,</w:t>
      </w:r>
      <w:r>
        <w:rPr>
          <w:rFonts w:ascii="Tahoma" w:eastAsia="Times New Roman" w:hAnsi="Tahoma" w:cs="Tahoma"/>
          <w:sz w:val="20"/>
          <w:szCs w:val="20"/>
          <w:lang w:eastAsia="it-IT"/>
        </w:rPr>
        <w:t xml:space="preserve"> ai rappresentanti degli Organi di Vigilanza, INL, ASL1 e INAIL</w:t>
      </w:r>
      <w:r w:rsidR="00472A75">
        <w:rPr>
          <w:rFonts w:ascii="Tahoma" w:eastAsia="Times New Roman" w:hAnsi="Tahoma" w:cs="Tahoma"/>
          <w:sz w:val="20"/>
          <w:szCs w:val="20"/>
          <w:lang w:eastAsia="it-IT"/>
        </w:rPr>
        <w:t xml:space="preserve">. Appena si avrà il calendario definitivo delle giornate e degli </w:t>
      </w:r>
      <w:proofErr w:type="gramStart"/>
      <w:r w:rsidR="00472A75">
        <w:rPr>
          <w:rFonts w:ascii="Tahoma" w:eastAsia="Times New Roman" w:hAnsi="Tahoma" w:cs="Tahoma"/>
          <w:sz w:val="20"/>
          <w:szCs w:val="20"/>
          <w:lang w:eastAsia="it-IT"/>
        </w:rPr>
        <w:t>orari ,</w:t>
      </w:r>
      <w:proofErr w:type="gramEnd"/>
      <w:r w:rsidR="00472A75">
        <w:rPr>
          <w:rFonts w:ascii="Tahoma" w:eastAsia="Times New Roman" w:hAnsi="Tahoma" w:cs="Tahoma"/>
          <w:sz w:val="20"/>
          <w:szCs w:val="20"/>
          <w:lang w:eastAsia="it-IT"/>
        </w:rPr>
        <w:t xml:space="preserve"> previsti per tali </w:t>
      </w:r>
      <w:proofErr w:type="gramStart"/>
      <w:r w:rsidR="00472A75">
        <w:rPr>
          <w:rFonts w:ascii="Tahoma" w:eastAsia="Times New Roman" w:hAnsi="Tahoma" w:cs="Tahoma"/>
          <w:sz w:val="20"/>
          <w:szCs w:val="20"/>
          <w:lang w:eastAsia="it-IT"/>
        </w:rPr>
        <w:t>incontri ,</w:t>
      </w:r>
      <w:proofErr w:type="gramEnd"/>
      <w:r w:rsidR="00472A75">
        <w:rPr>
          <w:rFonts w:ascii="Tahoma" w:eastAsia="Times New Roman" w:hAnsi="Tahoma" w:cs="Tahoma"/>
          <w:sz w:val="20"/>
          <w:szCs w:val="20"/>
          <w:lang w:eastAsia="it-IT"/>
        </w:rPr>
        <w:t xml:space="preserve"> si condividerà con </w:t>
      </w:r>
      <w:proofErr w:type="gramStart"/>
      <w:r w:rsidR="00472A75">
        <w:rPr>
          <w:rFonts w:ascii="Tahoma" w:eastAsia="Times New Roman" w:hAnsi="Tahoma" w:cs="Tahoma"/>
          <w:sz w:val="20"/>
          <w:szCs w:val="20"/>
          <w:lang w:eastAsia="it-IT"/>
        </w:rPr>
        <w:t>INL ,</w:t>
      </w:r>
      <w:proofErr w:type="gramEnd"/>
      <w:r w:rsidR="00472A75">
        <w:rPr>
          <w:rFonts w:ascii="Tahoma" w:eastAsia="Times New Roman" w:hAnsi="Tahoma" w:cs="Tahoma"/>
          <w:sz w:val="20"/>
          <w:szCs w:val="20"/>
          <w:lang w:eastAsia="it-IT"/>
        </w:rPr>
        <w:t xml:space="preserve"> ASL1 e INAIL, </w:t>
      </w:r>
      <w:proofErr w:type="spellStart"/>
      <w:r w:rsidR="00472A75">
        <w:rPr>
          <w:rFonts w:ascii="Tahoma" w:eastAsia="Times New Roman" w:hAnsi="Tahoma" w:cs="Tahoma"/>
          <w:sz w:val="20"/>
          <w:szCs w:val="20"/>
          <w:lang w:eastAsia="it-IT"/>
        </w:rPr>
        <w:t>affinchè</w:t>
      </w:r>
      <w:proofErr w:type="spellEnd"/>
      <w:r w:rsidR="00472A75">
        <w:rPr>
          <w:rFonts w:ascii="Tahoma" w:eastAsia="Times New Roman" w:hAnsi="Tahoma" w:cs="Tahoma"/>
          <w:sz w:val="20"/>
          <w:szCs w:val="20"/>
          <w:lang w:eastAsia="it-IT"/>
        </w:rPr>
        <w:t xml:space="preserve"> gli ispettori possano confrontarsi per accordarsi sui relativi interventi.</w:t>
      </w:r>
    </w:p>
    <w:p w14:paraId="2187CB5B" w14:textId="2BD41367" w:rsidR="000854B9" w:rsidRDefault="000854B9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41E0A387" w14:textId="4DFCB9D4" w:rsidR="00CF1423" w:rsidRDefault="00CF1423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368A9BB7" w14:textId="1C04A656" w:rsidR="00254FEF" w:rsidRPr="00472A75" w:rsidRDefault="005B7EB1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u w:val="single"/>
          <w:lang w:eastAsia="it-IT"/>
        </w:rPr>
      </w:pPr>
      <w:bookmarkStart w:id="0" w:name="_Hlk195097186"/>
      <w:r w:rsidRPr="00472A75">
        <w:rPr>
          <w:rFonts w:eastAsia="Times New Roman" w:cs="Tahoma"/>
          <w:b/>
          <w:szCs w:val="20"/>
          <w:u w:val="single"/>
          <w:lang w:eastAsia="it-IT"/>
        </w:rPr>
        <w:t xml:space="preserve">ARGOMENTO N. 2): </w:t>
      </w:r>
      <w:r w:rsidR="00472A75">
        <w:rPr>
          <w:rFonts w:eastAsia="Times New Roman" w:cs="Tahoma"/>
          <w:b/>
          <w:szCs w:val="20"/>
          <w:u w:val="single"/>
          <w:lang w:eastAsia="it-IT"/>
        </w:rPr>
        <w:t xml:space="preserve">COME CONSIDERARE LA </w:t>
      </w:r>
      <w:proofErr w:type="gramStart"/>
      <w:r w:rsidR="00472A75">
        <w:rPr>
          <w:rFonts w:eastAsia="Times New Roman" w:cs="Tahoma"/>
          <w:b/>
          <w:szCs w:val="20"/>
          <w:u w:val="single"/>
          <w:lang w:eastAsia="it-IT"/>
        </w:rPr>
        <w:t>“ RETE</w:t>
      </w:r>
      <w:proofErr w:type="gramEnd"/>
      <w:r w:rsidR="00472A75">
        <w:rPr>
          <w:rFonts w:eastAsia="Times New Roman" w:cs="Tahoma"/>
          <w:b/>
          <w:szCs w:val="20"/>
          <w:u w:val="single"/>
          <w:lang w:eastAsia="it-IT"/>
        </w:rPr>
        <w:t xml:space="preserve"> DI IMPRESE </w:t>
      </w:r>
      <w:proofErr w:type="gramStart"/>
      <w:r w:rsidR="00472A75">
        <w:rPr>
          <w:rFonts w:eastAsia="Times New Roman" w:cs="Tahoma"/>
          <w:b/>
          <w:szCs w:val="20"/>
          <w:u w:val="single"/>
          <w:lang w:eastAsia="it-IT"/>
        </w:rPr>
        <w:t>“ NEI</w:t>
      </w:r>
      <w:proofErr w:type="gramEnd"/>
      <w:r w:rsidR="00472A75">
        <w:rPr>
          <w:rFonts w:eastAsia="Times New Roman" w:cs="Tahoma"/>
          <w:b/>
          <w:szCs w:val="20"/>
          <w:u w:val="single"/>
          <w:lang w:eastAsia="it-IT"/>
        </w:rPr>
        <w:t xml:space="preserve"> CANTIERI.</w:t>
      </w:r>
    </w:p>
    <w:bookmarkEnd w:id="0"/>
    <w:p w14:paraId="4F069B75" w14:textId="4B86A6C7" w:rsidR="00254FEF" w:rsidRDefault="00254FEF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lang w:eastAsia="it-IT"/>
        </w:rPr>
      </w:pPr>
    </w:p>
    <w:p w14:paraId="42010BB0" w14:textId="77777777" w:rsidR="005B7EB1" w:rsidRDefault="005B7EB1" w:rsidP="00EA6B6D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25A261DF" w14:textId="38B2668D" w:rsidR="0089705D" w:rsidRDefault="00084332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proofErr w:type="spellStart"/>
      <w:r>
        <w:rPr>
          <w:rFonts w:eastAsia="Times New Roman" w:cs="Tahoma"/>
          <w:szCs w:val="20"/>
          <w:lang w:eastAsia="it-IT"/>
        </w:rPr>
        <w:t>L’Ing</w:t>
      </w:r>
      <w:proofErr w:type="spellEnd"/>
      <w:r>
        <w:rPr>
          <w:rFonts w:eastAsia="Times New Roman" w:cs="Tahoma"/>
          <w:szCs w:val="20"/>
          <w:lang w:eastAsia="it-IT"/>
        </w:rPr>
        <w:t>. Bernardini interviene spiega</w:t>
      </w:r>
      <w:r w:rsidR="00E84EC5">
        <w:rPr>
          <w:rFonts w:eastAsia="Times New Roman" w:cs="Tahoma"/>
          <w:szCs w:val="20"/>
          <w:lang w:eastAsia="it-IT"/>
        </w:rPr>
        <w:t>n</w:t>
      </w:r>
      <w:r>
        <w:rPr>
          <w:rFonts w:eastAsia="Times New Roman" w:cs="Tahoma"/>
          <w:szCs w:val="20"/>
          <w:lang w:eastAsia="it-IT"/>
        </w:rPr>
        <w:t xml:space="preserve">do che la RETE DI IMPRESE è una forma di aggregazione normata e disciplinata dall’Art.3 </w:t>
      </w:r>
      <w:r w:rsidR="00E84EC5">
        <w:rPr>
          <w:rFonts w:eastAsia="Times New Roman" w:cs="Tahoma"/>
          <w:szCs w:val="20"/>
          <w:lang w:eastAsia="it-IT"/>
        </w:rPr>
        <w:t>c.4 del D.L. n.5 /09, ai sensi del quale, “ con il contratto di rete, più imprenditori perseguono lo scopo di accrescere , individualmente e collettivamente  la propria capacità innovativa e la propria competitività sul mercato e a tal fine si obbligano, sulla base di un programma comune di rete, a collaborare in forme e ambiti predeterminati, attinenti all’esercizio delle proprie imprese, ovvero ma scambiarsi informazioni o prestazioni di natura industriale, commerciale, tecnica o tecnologica, ovvero ancora ad esercitare in comune una o più attività rientranti nell’oggetto della propria impresa.</w:t>
      </w:r>
      <w:r w:rsidR="0068210E">
        <w:rPr>
          <w:rFonts w:eastAsia="Times New Roman" w:cs="Tahoma"/>
          <w:szCs w:val="20"/>
          <w:lang w:eastAsia="it-IT"/>
        </w:rPr>
        <w:t xml:space="preserve"> </w:t>
      </w:r>
    </w:p>
    <w:p w14:paraId="55EF7223" w14:textId="02382385" w:rsidR="0068210E" w:rsidRDefault="0068210E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lastRenderedPageBreak/>
        <w:t xml:space="preserve">Il contratto in esame può essere stipulato esclusivamente tra due o più imprese obbligatoriamente iscritte alla Camera di </w:t>
      </w:r>
      <w:proofErr w:type="gramStart"/>
      <w:r>
        <w:rPr>
          <w:rFonts w:eastAsia="Times New Roman" w:cs="Tahoma"/>
          <w:szCs w:val="20"/>
          <w:lang w:eastAsia="it-IT"/>
        </w:rPr>
        <w:t>Commercio .</w:t>
      </w:r>
      <w:proofErr w:type="gramEnd"/>
      <w:r>
        <w:rPr>
          <w:rFonts w:eastAsia="Times New Roman" w:cs="Tahoma"/>
          <w:szCs w:val="20"/>
          <w:lang w:eastAsia="it-IT"/>
        </w:rPr>
        <w:t xml:space="preserve"> Non possono partecipare invece alle reti soggetti non qualificabili come imprenditori -ai sensi dell’art. 2082 c.c. </w:t>
      </w:r>
      <w:proofErr w:type="gramStart"/>
      <w:r>
        <w:rPr>
          <w:rFonts w:eastAsia="Times New Roman" w:cs="Tahoma"/>
          <w:szCs w:val="20"/>
          <w:lang w:eastAsia="it-IT"/>
        </w:rPr>
        <w:t>( ad</w:t>
      </w:r>
      <w:proofErr w:type="gramEnd"/>
      <w:r>
        <w:rPr>
          <w:rFonts w:eastAsia="Times New Roman" w:cs="Tahoma"/>
          <w:szCs w:val="20"/>
          <w:lang w:eastAsia="it-IT"/>
        </w:rPr>
        <w:t xml:space="preserve"> es. professionisti e associazioni o artigiani /lavoratori autonomi senza </w:t>
      </w:r>
      <w:proofErr w:type="gramStart"/>
      <w:r>
        <w:rPr>
          <w:rFonts w:eastAsia="Times New Roman" w:cs="Tahoma"/>
          <w:szCs w:val="20"/>
          <w:lang w:eastAsia="it-IT"/>
        </w:rPr>
        <w:t>dipendenti )</w:t>
      </w:r>
      <w:proofErr w:type="gramEnd"/>
      <w:r>
        <w:rPr>
          <w:rFonts w:eastAsia="Times New Roman" w:cs="Tahoma"/>
          <w:szCs w:val="20"/>
          <w:lang w:eastAsia="it-IT"/>
        </w:rPr>
        <w:t>.</w:t>
      </w:r>
    </w:p>
    <w:p w14:paraId="1CB91FB2" w14:textId="542BA6B0" w:rsidR="0068210E" w:rsidRDefault="0068210E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Inoltre, qualora il “distacco </w:t>
      </w:r>
      <w:proofErr w:type="gramStart"/>
      <w:r>
        <w:rPr>
          <w:rFonts w:eastAsia="Times New Roman" w:cs="Tahoma"/>
          <w:szCs w:val="20"/>
          <w:lang w:eastAsia="it-IT"/>
        </w:rPr>
        <w:t>“ di</w:t>
      </w:r>
      <w:proofErr w:type="gramEnd"/>
      <w:r>
        <w:rPr>
          <w:rFonts w:eastAsia="Times New Roman" w:cs="Tahoma"/>
          <w:szCs w:val="20"/>
          <w:lang w:eastAsia="it-IT"/>
        </w:rPr>
        <w:t xml:space="preserve"> personale avvenga tra aziende che abbiano sottoscritto un contratto di rete di </w:t>
      </w:r>
      <w:proofErr w:type="gramStart"/>
      <w:r>
        <w:rPr>
          <w:rFonts w:eastAsia="Times New Roman" w:cs="Tahoma"/>
          <w:szCs w:val="20"/>
          <w:lang w:eastAsia="it-IT"/>
        </w:rPr>
        <w:t>impresa ,</w:t>
      </w:r>
      <w:proofErr w:type="gramEnd"/>
      <w:r>
        <w:rPr>
          <w:rFonts w:eastAsia="Times New Roman" w:cs="Tahoma"/>
          <w:szCs w:val="20"/>
          <w:lang w:eastAsia="it-IT"/>
        </w:rPr>
        <w:t xml:space="preserve">  che abbia validità ai sensi del D.L n.5/09, convertito con modificazioni della Legge 9/4/2009n. 33, l’interesse della parte distaccante sorge autonomamente, in forza dell’operare della rete, fatte salve le norme in materia di mobilità dei lavoratori previste dall’art. 2013 del c.c.</w:t>
      </w:r>
    </w:p>
    <w:p w14:paraId="7429B52B" w14:textId="3894508C" w:rsidR="0068210E" w:rsidRDefault="0068210E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Quindi, a differenza di quanto previsto al </w:t>
      </w:r>
      <w:proofErr w:type="gramStart"/>
      <w:r>
        <w:rPr>
          <w:rFonts w:eastAsia="Times New Roman" w:cs="Tahoma"/>
          <w:szCs w:val="20"/>
          <w:lang w:eastAsia="it-IT"/>
        </w:rPr>
        <w:t>1°</w:t>
      </w:r>
      <w:proofErr w:type="gramEnd"/>
      <w:r>
        <w:rPr>
          <w:rFonts w:eastAsia="Times New Roman" w:cs="Tahoma"/>
          <w:szCs w:val="20"/>
          <w:lang w:eastAsia="it-IT"/>
        </w:rPr>
        <w:t xml:space="preserve"> c. dell’Art. 30 del </w:t>
      </w:r>
      <w:proofErr w:type="spellStart"/>
      <w:r>
        <w:rPr>
          <w:rFonts w:eastAsia="Times New Roman" w:cs="Tahoma"/>
          <w:szCs w:val="20"/>
          <w:lang w:eastAsia="it-IT"/>
        </w:rPr>
        <w:t>D.Lgs.</w:t>
      </w:r>
      <w:proofErr w:type="spellEnd"/>
      <w:r>
        <w:rPr>
          <w:rFonts w:eastAsia="Times New Roman" w:cs="Tahoma"/>
          <w:szCs w:val="20"/>
          <w:lang w:eastAsia="it-IT"/>
        </w:rPr>
        <w:t xml:space="preserve"> 276/03, in forza del </w:t>
      </w:r>
      <w:proofErr w:type="gramStart"/>
      <w:r>
        <w:rPr>
          <w:rFonts w:eastAsia="Times New Roman" w:cs="Tahoma"/>
          <w:szCs w:val="20"/>
          <w:lang w:eastAsia="it-IT"/>
        </w:rPr>
        <w:t>quale ,</w:t>
      </w:r>
      <w:proofErr w:type="gramEnd"/>
      <w:r>
        <w:rPr>
          <w:rFonts w:eastAsia="Times New Roman" w:cs="Tahoma"/>
          <w:szCs w:val="20"/>
          <w:lang w:eastAsia="it-IT"/>
        </w:rPr>
        <w:t xml:space="preserve"> per la legittimità dell’utilizzo di tale istituto è necessario riscontrare l’interesse el a temporaneità del distacco, in tale contesto </w:t>
      </w:r>
      <w:proofErr w:type="gramStart"/>
      <w:r>
        <w:rPr>
          <w:rFonts w:eastAsia="Times New Roman" w:cs="Tahoma"/>
          <w:szCs w:val="20"/>
          <w:lang w:eastAsia="it-IT"/>
        </w:rPr>
        <w:t>“ l’interesse</w:t>
      </w:r>
      <w:proofErr w:type="gramEnd"/>
      <w:r>
        <w:rPr>
          <w:rFonts w:eastAsia="Times New Roman" w:cs="Tahoma"/>
          <w:szCs w:val="20"/>
          <w:lang w:eastAsia="it-IT"/>
        </w:rPr>
        <w:t xml:space="preserve">  del distaccante” consegue automaticamente alla costituzione di una rete di imprese.</w:t>
      </w:r>
    </w:p>
    <w:p w14:paraId="163EA648" w14:textId="23270AD0" w:rsidR="0068210E" w:rsidRDefault="0068210E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proofErr w:type="gramStart"/>
      <w:r>
        <w:rPr>
          <w:rFonts w:eastAsia="Times New Roman" w:cs="Tahoma"/>
          <w:szCs w:val="20"/>
          <w:lang w:eastAsia="it-IT"/>
        </w:rPr>
        <w:t>E’</w:t>
      </w:r>
      <w:proofErr w:type="gramEnd"/>
      <w:r>
        <w:rPr>
          <w:rFonts w:eastAsia="Times New Roman" w:cs="Tahoma"/>
          <w:szCs w:val="20"/>
          <w:lang w:eastAsia="it-IT"/>
        </w:rPr>
        <w:t xml:space="preserve"> </w:t>
      </w:r>
      <w:proofErr w:type="gramStart"/>
      <w:r>
        <w:rPr>
          <w:rFonts w:eastAsia="Times New Roman" w:cs="Tahoma"/>
          <w:szCs w:val="20"/>
          <w:lang w:eastAsia="it-IT"/>
        </w:rPr>
        <w:t>necessario inoltre</w:t>
      </w:r>
      <w:proofErr w:type="gramEnd"/>
      <w:r>
        <w:rPr>
          <w:rFonts w:eastAsia="Times New Roman" w:cs="Tahoma"/>
          <w:szCs w:val="20"/>
          <w:lang w:eastAsia="it-IT"/>
        </w:rPr>
        <w:t xml:space="preserve"> che si proceda preventivamente alla iscrizione del registro delle </w:t>
      </w:r>
      <w:proofErr w:type="gramStart"/>
      <w:r>
        <w:rPr>
          <w:rFonts w:eastAsia="Times New Roman" w:cs="Tahoma"/>
          <w:szCs w:val="20"/>
          <w:lang w:eastAsia="it-IT"/>
        </w:rPr>
        <w:t>imprese ,</w:t>
      </w:r>
      <w:proofErr w:type="gramEnd"/>
      <w:r>
        <w:rPr>
          <w:rFonts w:eastAsia="Times New Roman" w:cs="Tahoma"/>
          <w:szCs w:val="20"/>
          <w:lang w:eastAsia="it-IT"/>
        </w:rPr>
        <w:t xml:space="preserve"> del contratto di rete </w:t>
      </w:r>
      <w:proofErr w:type="gramStart"/>
      <w:r>
        <w:rPr>
          <w:rFonts w:eastAsia="Times New Roman" w:cs="Tahoma"/>
          <w:szCs w:val="20"/>
          <w:lang w:eastAsia="it-IT"/>
        </w:rPr>
        <w:t>( art.</w:t>
      </w:r>
      <w:proofErr w:type="gramEnd"/>
      <w:r>
        <w:rPr>
          <w:rFonts w:eastAsia="Times New Roman" w:cs="Tahoma"/>
          <w:szCs w:val="20"/>
          <w:lang w:eastAsia="it-IT"/>
        </w:rPr>
        <w:t xml:space="preserve"> 3 c.4 quater – D.L. 5/09 )</w:t>
      </w:r>
      <w:r w:rsidR="00412E16">
        <w:rPr>
          <w:rFonts w:eastAsia="Times New Roman" w:cs="Tahoma"/>
          <w:szCs w:val="20"/>
          <w:lang w:eastAsia="it-IT"/>
        </w:rPr>
        <w:t>.</w:t>
      </w:r>
    </w:p>
    <w:p w14:paraId="6387FB9B" w14:textId="7FC758C2" w:rsidR="00412E16" w:rsidRDefault="00412E16" w:rsidP="00563CD3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Si configurano inoltre due possibili forme di </w:t>
      </w:r>
      <w:proofErr w:type="gramStart"/>
      <w:r>
        <w:rPr>
          <w:rFonts w:eastAsia="Times New Roman" w:cs="Tahoma"/>
          <w:szCs w:val="20"/>
          <w:lang w:eastAsia="it-IT"/>
        </w:rPr>
        <w:t>“ Rete</w:t>
      </w:r>
      <w:proofErr w:type="gramEnd"/>
      <w:r>
        <w:rPr>
          <w:rFonts w:eastAsia="Times New Roman" w:cs="Tahoma"/>
          <w:szCs w:val="20"/>
          <w:lang w:eastAsia="it-IT"/>
        </w:rPr>
        <w:t xml:space="preserve"> di Imprese “, nello specifico:</w:t>
      </w:r>
    </w:p>
    <w:p w14:paraId="601EA0F4" w14:textId="1B1529EC" w:rsidR="00412E16" w:rsidRDefault="00412E16" w:rsidP="00412E16">
      <w:pPr>
        <w:pStyle w:val="Paragrafoelenco"/>
        <w:numPr>
          <w:ilvl w:val="0"/>
          <w:numId w:val="6"/>
        </w:num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 w:rsidRPr="00412E16">
        <w:rPr>
          <w:rFonts w:eastAsia="Times New Roman" w:cs="Tahoma"/>
          <w:szCs w:val="20"/>
          <w:lang w:eastAsia="it-IT"/>
        </w:rPr>
        <w:t xml:space="preserve">LA RETE A </w:t>
      </w:r>
      <w:proofErr w:type="gramStart"/>
      <w:r w:rsidRPr="00412E16">
        <w:rPr>
          <w:rFonts w:eastAsia="Times New Roman" w:cs="Tahoma"/>
          <w:szCs w:val="20"/>
          <w:lang w:eastAsia="it-IT"/>
        </w:rPr>
        <w:t>SOGGETTO :</w:t>
      </w:r>
      <w:proofErr w:type="gramEnd"/>
      <w:r w:rsidRPr="00412E16">
        <w:rPr>
          <w:rFonts w:eastAsia="Times New Roman" w:cs="Tahoma"/>
          <w:szCs w:val="20"/>
          <w:lang w:eastAsia="it-IT"/>
        </w:rPr>
        <w:t xml:space="preserve"> nel caso in cui la rete di imprese sia dotata di fondo patrimoniale</w:t>
      </w:r>
      <w:r>
        <w:rPr>
          <w:rFonts w:eastAsia="Times New Roman" w:cs="Tahoma"/>
          <w:szCs w:val="20"/>
          <w:lang w:eastAsia="it-IT"/>
        </w:rPr>
        <w:t xml:space="preserve">, piò decidere di acquisire soggettività giuridica; a tal fine si dovrà iscrivere il contratto di rete nella sezione ordinaria del Registro delle Imprese, nella cui circoscrizione è stabilita la sede. Acquisendo soggettività giuridica, la rete diventa nuovo soggetto di diritto, distinto dalle imprese partecipanti, capace di </w:t>
      </w:r>
      <w:proofErr w:type="gramStart"/>
      <w:r>
        <w:rPr>
          <w:rFonts w:eastAsia="Times New Roman" w:cs="Tahoma"/>
          <w:szCs w:val="20"/>
          <w:lang w:eastAsia="it-IT"/>
        </w:rPr>
        <w:t>porre in essere</w:t>
      </w:r>
      <w:proofErr w:type="gramEnd"/>
      <w:r>
        <w:rPr>
          <w:rFonts w:eastAsia="Times New Roman" w:cs="Tahoma"/>
          <w:szCs w:val="20"/>
          <w:lang w:eastAsia="it-IT"/>
        </w:rPr>
        <w:t xml:space="preserve"> autonomamente rapporti giuridici, che acquisiscono rilevanza anche da un punto di vista fiscale </w:t>
      </w:r>
      <w:proofErr w:type="gramStart"/>
      <w:r>
        <w:rPr>
          <w:rFonts w:eastAsia="Times New Roman" w:cs="Tahoma"/>
          <w:szCs w:val="20"/>
          <w:lang w:eastAsia="it-IT"/>
        </w:rPr>
        <w:t>( la</w:t>
      </w:r>
      <w:proofErr w:type="gramEnd"/>
      <w:r>
        <w:rPr>
          <w:rFonts w:eastAsia="Times New Roman" w:cs="Tahoma"/>
          <w:szCs w:val="20"/>
          <w:lang w:eastAsia="it-IT"/>
        </w:rPr>
        <w:t xml:space="preserve"> rete -soggetto sarà pertanto obbligata alla tenuta delle scritture </w:t>
      </w:r>
      <w:proofErr w:type="gramStart"/>
      <w:r>
        <w:rPr>
          <w:rFonts w:eastAsia="Times New Roman" w:cs="Tahoma"/>
          <w:szCs w:val="20"/>
          <w:lang w:eastAsia="it-IT"/>
        </w:rPr>
        <w:t>contabili ,</w:t>
      </w:r>
      <w:proofErr w:type="gramEnd"/>
      <w:r>
        <w:rPr>
          <w:rFonts w:eastAsia="Times New Roman" w:cs="Tahoma"/>
          <w:szCs w:val="20"/>
          <w:lang w:eastAsia="it-IT"/>
        </w:rPr>
        <w:t xml:space="preserve"> dotarsi di partita iva, bel caso in cui eserciti attività commerciale e sarà soggetta a tassazione ai fini delle imposte dirette).</w:t>
      </w:r>
    </w:p>
    <w:p w14:paraId="185DA282" w14:textId="53B86946" w:rsidR="00412E16" w:rsidRDefault="00412E16" w:rsidP="00412E16">
      <w:pPr>
        <w:tabs>
          <w:tab w:val="center" w:pos="4819"/>
          <w:tab w:val="right" w:pos="9638"/>
        </w:tabs>
        <w:ind w:left="720" w:right="-1"/>
        <w:jc w:val="both"/>
        <w:rPr>
          <w:rFonts w:eastAsia="Times New Roman" w:cs="Tahoma"/>
          <w:i/>
          <w:iCs/>
          <w:szCs w:val="20"/>
          <w:u w:val="single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In tal caso, in cantiere </w:t>
      </w:r>
      <w:r w:rsidRPr="00412E16">
        <w:rPr>
          <w:rFonts w:eastAsia="Times New Roman" w:cs="Tahoma"/>
          <w:i/>
          <w:iCs/>
          <w:szCs w:val="20"/>
          <w:u w:val="single"/>
          <w:lang w:eastAsia="it-IT"/>
        </w:rPr>
        <w:t xml:space="preserve">sarà considerata la presenza di una impresa </w:t>
      </w:r>
      <w:proofErr w:type="gramStart"/>
      <w:r w:rsidRPr="00412E16">
        <w:rPr>
          <w:rFonts w:eastAsia="Times New Roman" w:cs="Tahoma"/>
          <w:i/>
          <w:iCs/>
          <w:szCs w:val="20"/>
          <w:u w:val="single"/>
          <w:lang w:eastAsia="it-IT"/>
        </w:rPr>
        <w:t>( soggetto</w:t>
      </w:r>
      <w:proofErr w:type="gramEnd"/>
      <w:r w:rsidRPr="00412E16">
        <w:rPr>
          <w:rFonts w:eastAsia="Times New Roman" w:cs="Tahoma"/>
          <w:i/>
          <w:iCs/>
          <w:szCs w:val="20"/>
          <w:u w:val="single"/>
          <w:lang w:eastAsia="it-IT"/>
        </w:rPr>
        <w:t xml:space="preserve"> </w:t>
      </w:r>
      <w:proofErr w:type="gramStart"/>
      <w:r w:rsidRPr="00412E16">
        <w:rPr>
          <w:rFonts w:eastAsia="Times New Roman" w:cs="Tahoma"/>
          <w:i/>
          <w:iCs/>
          <w:szCs w:val="20"/>
          <w:u w:val="single"/>
          <w:lang w:eastAsia="it-IT"/>
        </w:rPr>
        <w:t>giuridico )</w:t>
      </w:r>
      <w:proofErr w:type="gramEnd"/>
      <w:r w:rsidRPr="00412E16">
        <w:rPr>
          <w:rFonts w:eastAsia="Times New Roman" w:cs="Tahoma"/>
          <w:i/>
          <w:iCs/>
          <w:szCs w:val="20"/>
          <w:u w:val="single"/>
          <w:lang w:eastAsia="it-IT"/>
        </w:rPr>
        <w:t xml:space="preserve"> e non sarà necessaria la nomina del CSP/</w:t>
      </w:r>
      <w:proofErr w:type="gramStart"/>
      <w:r w:rsidRPr="00412E16">
        <w:rPr>
          <w:rFonts w:eastAsia="Times New Roman" w:cs="Tahoma"/>
          <w:i/>
          <w:iCs/>
          <w:szCs w:val="20"/>
          <w:u w:val="single"/>
          <w:lang w:eastAsia="it-IT"/>
        </w:rPr>
        <w:t>CSE ,</w:t>
      </w:r>
      <w:proofErr w:type="gramEnd"/>
      <w:r w:rsidRPr="00412E16">
        <w:rPr>
          <w:rFonts w:eastAsia="Times New Roman" w:cs="Tahoma"/>
          <w:i/>
          <w:iCs/>
          <w:szCs w:val="20"/>
          <w:u w:val="single"/>
          <w:lang w:eastAsia="it-IT"/>
        </w:rPr>
        <w:t xml:space="preserve"> né la redazione del PSC, ma occorrerà provvedere alla redazione di un DUVRI, da parte della rete-soggetto.</w:t>
      </w:r>
    </w:p>
    <w:p w14:paraId="1DA7F3CA" w14:textId="51B61F10" w:rsidR="00412E16" w:rsidRDefault="00412E16" w:rsidP="00412E1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i/>
          <w:iCs/>
          <w:szCs w:val="20"/>
          <w:u w:val="single"/>
          <w:lang w:eastAsia="it-IT"/>
        </w:rPr>
      </w:pPr>
      <w:r>
        <w:rPr>
          <w:rFonts w:eastAsia="Times New Roman" w:cs="Tahoma"/>
          <w:i/>
          <w:iCs/>
          <w:szCs w:val="20"/>
          <w:u w:val="single"/>
          <w:lang w:eastAsia="it-IT"/>
        </w:rPr>
        <w:t xml:space="preserve">    </w:t>
      </w:r>
    </w:p>
    <w:p w14:paraId="0FE7AB22" w14:textId="5A4C6EFA" w:rsidR="005C19DB" w:rsidRDefault="00412E16" w:rsidP="00412E16">
      <w:pPr>
        <w:pStyle w:val="Paragrafoelenco"/>
        <w:numPr>
          <w:ilvl w:val="0"/>
          <w:numId w:val="6"/>
        </w:num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LA RETE A </w:t>
      </w:r>
      <w:proofErr w:type="gramStart"/>
      <w:r>
        <w:rPr>
          <w:rFonts w:eastAsia="Times New Roman" w:cs="Tahoma"/>
          <w:szCs w:val="20"/>
          <w:lang w:eastAsia="it-IT"/>
        </w:rPr>
        <w:t>CONTRATTO :</w:t>
      </w:r>
      <w:proofErr w:type="gramEnd"/>
      <w:r>
        <w:rPr>
          <w:rFonts w:eastAsia="Times New Roman" w:cs="Tahoma"/>
          <w:szCs w:val="20"/>
          <w:lang w:eastAsia="it-IT"/>
        </w:rPr>
        <w:t xml:space="preserve"> nella rete “a contratto”, diversamente da quella “a soggetto”, gli atti posti in essere in esecuzione del programma di rete producono i loro effetti direttamente nelle sfere giuridiche dei partecipanti, pertanto, la stipula di </w:t>
      </w:r>
      <w:r w:rsidR="007476A6">
        <w:rPr>
          <w:rFonts w:eastAsia="Times New Roman" w:cs="Tahoma"/>
          <w:szCs w:val="20"/>
          <w:lang w:eastAsia="it-IT"/>
        </w:rPr>
        <w:t xml:space="preserve">una rete a contratto non comporta </w:t>
      </w:r>
      <w:proofErr w:type="gramStart"/>
      <w:r w:rsidR="007476A6">
        <w:rPr>
          <w:rFonts w:eastAsia="Times New Roman" w:cs="Tahoma"/>
          <w:szCs w:val="20"/>
          <w:lang w:eastAsia="it-IT"/>
        </w:rPr>
        <w:t>l’estinzione ,</w:t>
      </w:r>
      <w:proofErr w:type="gramEnd"/>
      <w:r w:rsidR="007476A6">
        <w:rPr>
          <w:rFonts w:eastAsia="Times New Roman" w:cs="Tahoma"/>
          <w:szCs w:val="20"/>
          <w:lang w:eastAsia="it-IT"/>
        </w:rPr>
        <w:t xml:space="preserve"> né la modificazione della soggettività tributaria delle imprese che aderiscono all’accordo, né l’attivazione di soggettività tributaria alla rete risultante dal contratto stesso. In tal caso la rete a contratto si configura come le ATI </w:t>
      </w:r>
      <w:proofErr w:type="gramStart"/>
      <w:r w:rsidR="007476A6">
        <w:rPr>
          <w:rFonts w:eastAsia="Times New Roman" w:cs="Tahoma"/>
          <w:szCs w:val="20"/>
          <w:lang w:eastAsia="it-IT"/>
        </w:rPr>
        <w:t>( Associazione</w:t>
      </w:r>
      <w:proofErr w:type="gramEnd"/>
      <w:r w:rsidR="007476A6">
        <w:rPr>
          <w:rFonts w:eastAsia="Times New Roman" w:cs="Tahoma"/>
          <w:szCs w:val="20"/>
          <w:lang w:eastAsia="it-IT"/>
        </w:rPr>
        <w:t xml:space="preserve"> Temporanea di </w:t>
      </w:r>
      <w:proofErr w:type="gramStart"/>
      <w:r w:rsidR="007476A6">
        <w:rPr>
          <w:rFonts w:eastAsia="Times New Roman" w:cs="Tahoma"/>
          <w:szCs w:val="20"/>
          <w:lang w:eastAsia="it-IT"/>
        </w:rPr>
        <w:t>Imprese )</w:t>
      </w:r>
      <w:proofErr w:type="gramEnd"/>
      <w:r w:rsidR="007476A6">
        <w:rPr>
          <w:rFonts w:eastAsia="Times New Roman" w:cs="Tahoma"/>
          <w:szCs w:val="20"/>
          <w:lang w:eastAsia="it-IT"/>
        </w:rPr>
        <w:t xml:space="preserve"> ed </w:t>
      </w:r>
      <w:proofErr w:type="gramStart"/>
      <w:r w:rsidR="007476A6">
        <w:rPr>
          <w:rFonts w:eastAsia="Times New Roman" w:cs="Tahoma"/>
          <w:szCs w:val="20"/>
          <w:lang w:eastAsia="it-IT"/>
        </w:rPr>
        <w:t>occorre ,</w:t>
      </w:r>
      <w:proofErr w:type="gramEnd"/>
      <w:r w:rsidR="007476A6">
        <w:rPr>
          <w:rFonts w:eastAsia="Times New Roman" w:cs="Tahoma"/>
          <w:szCs w:val="20"/>
          <w:lang w:eastAsia="it-IT"/>
        </w:rPr>
        <w:t xml:space="preserve"> sia predisporre un </w:t>
      </w:r>
      <w:proofErr w:type="spellStart"/>
      <w:r w:rsidR="007476A6">
        <w:rPr>
          <w:rFonts w:eastAsia="Times New Roman" w:cs="Tahoma"/>
          <w:szCs w:val="20"/>
          <w:lang w:eastAsia="it-IT"/>
        </w:rPr>
        <w:t>pSC</w:t>
      </w:r>
      <w:proofErr w:type="spellEnd"/>
      <w:r w:rsidR="007476A6">
        <w:rPr>
          <w:rFonts w:eastAsia="Times New Roman" w:cs="Tahoma"/>
          <w:szCs w:val="20"/>
          <w:lang w:eastAsia="it-IT"/>
        </w:rPr>
        <w:t xml:space="preserve"> che effettuare nomina CSP/CSE. Ovviamente tutte le specifiche del caso dovranno essere dettagliatamente descritte nel </w:t>
      </w:r>
      <w:proofErr w:type="gramStart"/>
      <w:r w:rsidR="007476A6">
        <w:rPr>
          <w:rFonts w:eastAsia="Times New Roman" w:cs="Tahoma"/>
          <w:szCs w:val="20"/>
          <w:lang w:eastAsia="it-IT"/>
        </w:rPr>
        <w:t>“ contratto</w:t>
      </w:r>
      <w:proofErr w:type="gramEnd"/>
      <w:r w:rsidR="007476A6">
        <w:rPr>
          <w:rFonts w:eastAsia="Times New Roman" w:cs="Tahoma"/>
          <w:szCs w:val="20"/>
          <w:lang w:eastAsia="it-IT"/>
        </w:rPr>
        <w:t xml:space="preserve"> “.</w:t>
      </w:r>
    </w:p>
    <w:p w14:paraId="3281016A" w14:textId="77777777" w:rsidR="007476A6" w:rsidRDefault="007476A6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0C35EE72" w14:textId="77777777" w:rsidR="007476A6" w:rsidRDefault="007476A6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635EED09" w14:textId="400934B3" w:rsidR="007476A6" w:rsidRDefault="007476A6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u w:val="single"/>
          <w:lang w:eastAsia="it-IT"/>
        </w:rPr>
      </w:pPr>
      <w:r w:rsidRPr="00472A75">
        <w:rPr>
          <w:rFonts w:eastAsia="Times New Roman" w:cs="Tahoma"/>
          <w:b/>
          <w:szCs w:val="20"/>
          <w:u w:val="single"/>
          <w:lang w:eastAsia="it-IT"/>
        </w:rPr>
        <w:t xml:space="preserve">ARGOMENTO N. </w:t>
      </w:r>
      <w:r>
        <w:rPr>
          <w:rFonts w:eastAsia="Times New Roman" w:cs="Tahoma"/>
          <w:b/>
          <w:szCs w:val="20"/>
          <w:u w:val="single"/>
          <w:lang w:eastAsia="it-IT"/>
        </w:rPr>
        <w:t>3</w:t>
      </w:r>
      <w:proofErr w:type="gramStart"/>
      <w:r w:rsidRPr="00472A75">
        <w:rPr>
          <w:rFonts w:eastAsia="Times New Roman" w:cs="Tahoma"/>
          <w:b/>
          <w:szCs w:val="20"/>
          <w:u w:val="single"/>
          <w:lang w:eastAsia="it-IT"/>
        </w:rPr>
        <w:t>):</w:t>
      </w:r>
      <w:r>
        <w:rPr>
          <w:rFonts w:eastAsia="Times New Roman" w:cs="Tahoma"/>
          <w:b/>
          <w:szCs w:val="20"/>
          <w:u w:val="single"/>
          <w:lang w:eastAsia="it-IT"/>
        </w:rPr>
        <w:t xml:space="preserve">  OBBLIGATORIETA’  E</w:t>
      </w:r>
      <w:proofErr w:type="gramEnd"/>
      <w:r>
        <w:rPr>
          <w:rFonts w:eastAsia="Times New Roman" w:cs="Tahoma"/>
          <w:b/>
          <w:szCs w:val="20"/>
          <w:u w:val="single"/>
          <w:lang w:eastAsia="it-IT"/>
        </w:rPr>
        <w:t xml:space="preserve"> CONTROLLO DEI CONTRATTI DI APPALTO NEI </w:t>
      </w:r>
    </w:p>
    <w:p w14:paraId="3A198DB1" w14:textId="77777777" w:rsidR="007476A6" w:rsidRDefault="007476A6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u w:val="single"/>
          <w:lang w:eastAsia="it-IT"/>
        </w:rPr>
      </w:pPr>
      <w:r>
        <w:rPr>
          <w:rFonts w:eastAsia="Times New Roman" w:cs="Tahoma"/>
          <w:b/>
          <w:szCs w:val="20"/>
          <w:lang w:eastAsia="it-IT"/>
        </w:rPr>
        <w:t xml:space="preserve">                                   </w:t>
      </w:r>
      <w:r w:rsidRPr="007476A6">
        <w:rPr>
          <w:rFonts w:eastAsia="Times New Roman" w:cs="Tahoma"/>
          <w:b/>
          <w:szCs w:val="20"/>
          <w:u w:val="single"/>
          <w:lang w:eastAsia="it-IT"/>
        </w:rPr>
        <w:t xml:space="preserve">CANTIERI     </w:t>
      </w:r>
    </w:p>
    <w:p w14:paraId="7F6CA460" w14:textId="77777777" w:rsidR="007476A6" w:rsidRDefault="007476A6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u w:val="single"/>
          <w:lang w:eastAsia="it-IT"/>
        </w:rPr>
      </w:pPr>
    </w:p>
    <w:p w14:paraId="5CE35E4A" w14:textId="7B828C00" w:rsidR="007476A6" w:rsidRDefault="003F375D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>Per quanto riguarda la presenza dei contratti nei lavori edili</w:t>
      </w:r>
      <w:r>
        <w:rPr>
          <w:rFonts w:eastAsia="Times New Roman" w:cs="Tahoma"/>
          <w:b/>
          <w:szCs w:val="20"/>
          <w:u w:val="single"/>
          <w:lang w:eastAsia="it-IT"/>
        </w:rPr>
        <w:t xml:space="preserve"> </w:t>
      </w:r>
      <w:r>
        <w:rPr>
          <w:rFonts w:eastAsia="Times New Roman" w:cs="Tahoma"/>
          <w:bCs/>
          <w:szCs w:val="20"/>
          <w:lang w:eastAsia="it-IT"/>
        </w:rPr>
        <w:t xml:space="preserve">e il </w:t>
      </w:r>
      <w:proofErr w:type="gramStart"/>
      <w:r>
        <w:rPr>
          <w:rFonts w:eastAsia="Times New Roman" w:cs="Tahoma"/>
          <w:bCs/>
          <w:szCs w:val="20"/>
          <w:lang w:eastAsia="it-IT"/>
        </w:rPr>
        <w:t>“ giornale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dei lavori “, viene confermato che, quest’ultimo non è più presente da tempo nei cantieri riguardanti lavori privati, mentre i contratti devono essere sempre stipulati e verificabili, anche per opere di edilizia privata. Ovviamente </w:t>
      </w:r>
      <w:r w:rsidRPr="003F375D">
        <w:rPr>
          <w:rFonts w:eastAsia="Times New Roman" w:cs="Tahoma"/>
          <w:bCs/>
          <w:i/>
          <w:iCs/>
          <w:szCs w:val="20"/>
          <w:u w:val="single"/>
          <w:lang w:eastAsia="it-IT"/>
        </w:rPr>
        <w:t>la verifica della parte contrattuale non rientra tra i compiti del CSE</w:t>
      </w:r>
      <w:r>
        <w:rPr>
          <w:rFonts w:eastAsia="Times New Roman" w:cs="Tahoma"/>
          <w:bCs/>
          <w:szCs w:val="20"/>
          <w:lang w:eastAsia="it-IT"/>
        </w:rPr>
        <w:t xml:space="preserve"> (che può </w:t>
      </w:r>
      <w:proofErr w:type="gramStart"/>
      <w:r>
        <w:rPr>
          <w:rFonts w:eastAsia="Times New Roman" w:cs="Tahoma"/>
          <w:bCs/>
          <w:szCs w:val="20"/>
          <w:lang w:eastAsia="it-IT"/>
        </w:rPr>
        <w:t>comunque ,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a sua discrezione, verificarne </w:t>
      </w:r>
      <w:proofErr w:type="gramStart"/>
      <w:r>
        <w:rPr>
          <w:rFonts w:eastAsia="Times New Roman" w:cs="Tahoma"/>
          <w:bCs/>
          <w:szCs w:val="20"/>
          <w:lang w:eastAsia="it-IT"/>
        </w:rPr>
        <w:t>l’esistenza )</w:t>
      </w:r>
      <w:proofErr w:type="gramEnd"/>
      <w:r>
        <w:rPr>
          <w:rFonts w:eastAsia="Times New Roman" w:cs="Tahoma"/>
          <w:bCs/>
          <w:szCs w:val="20"/>
          <w:lang w:eastAsia="it-IT"/>
        </w:rPr>
        <w:t>.</w:t>
      </w:r>
    </w:p>
    <w:p w14:paraId="2D97F265" w14:textId="77777777" w:rsidR="003F375D" w:rsidRDefault="003F375D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</w:p>
    <w:p w14:paraId="21E77562" w14:textId="62313D60" w:rsidR="003F375D" w:rsidRDefault="003F375D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u w:val="single"/>
          <w:lang w:eastAsia="it-IT"/>
        </w:rPr>
      </w:pPr>
      <w:r w:rsidRPr="003F375D">
        <w:rPr>
          <w:rFonts w:eastAsia="Times New Roman" w:cs="Tahoma"/>
          <w:b/>
          <w:szCs w:val="20"/>
          <w:u w:val="single"/>
          <w:lang w:eastAsia="it-IT"/>
        </w:rPr>
        <w:t xml:space="preserve">VARIE ED </w:t>
      </w:r>
      <w:proofErr w:type="gramStart"/>
      <w:r w:rsidRPr="003F375D">
        <w:rPr>
          <w:rFonts w:eastAsia="Times New Roman" w:cs="Tahoma"/>
          <w:b/>
          <w:szCs w:val="20"/>
          <w:u w:val="single"/>
          <w:lang w:eastAsia="it-IT"/>
        </w:rPr>
        <w:t xml:space="preserve">EVENTUALI </w:t>
      </w:r>
      <w:r>
        <w:rPr>
          <w:rFonts w:eastAsia="Times New Roman" w:cs="Tahoma"/>
          <w:b/>
          <w:szCs w:val="20"/>
          <w:u w:val="single"/>
          <w:lang w:eastAsia="it-IT"/>
        </w:rPr>
        <w:t>:</w:t>
      </w:r>
      <w:proofErr w:type="gramEnd"/>
    </w:p>
    <w:p w14:paraId="74B82E60" w14:textId="77777777" w:rsidR="003F375D" w:rsidRDefault="003F375D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u w:val="single"/>
          <w:lang w:eastAsia="it-IT"/>
        </w:rPr>
      </w:pPr>
    </w:p>
    <w:p w14:paraId="71811177" w14:textId="50871735" w:rsidR="003F375D" w:rsidRDefault="003F375D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 xml:space="preserve">I partecipanti condividono con gli Ispettori presenti alcune problematiche </w:t>
      </w:r>
      <w:r w:rsidR="00BE161F">
        <w:rPr>
          <w:rFonts w:eastAsia="Times New Roman" w:cs="Tahoma"/>
          <w:bCs/>
          <w:szCs w:val="20"/>
          <w:lang w:eastAsia="it-IT"/>
        </w:rPr>
        <w:t xml:space="preserve">e criticità emerse durante i sopralluoghi di cantiere, effettuati ciascuno durante l’espletamento delle proprie funzioni </w:t>
      </w:r>
      <w:proofErr w:type="gramStart"/>
      <w:r w:rsidR="00BE161F">
        <w:rPr>
          <w:rFonts w:eastAsia="Times New Roman" w:cs="Tahoma"/>
          <w:bCs/>
          <w:szCs w:val="20"/>
          <w:lang w:eastAsia="it-IT"/>
        </w:rPr>
        <w:t>( tecnici</w:t>
      </w:r>
      <w:proofErr w:type="gramEnd"/>
      <w:r w:rsidR="00BE161F">
        <w:rPr>
          <w:rFonts w:eastAsia="Times New Roman" w:cs="Tahoma"/>
          <w:bCs/>
          <w:szCs w:val="20"/>
          <w:lang w:eastAsia="it-IT"/>
        </w:rPr>
        <w:t xml:space="preserve"> Area Sicurezza SEI-CPT / RLST / </w:t>
      </w:r>
      <w:proofErr w:type="gramStart"/>
      <w:r w:rsidR="00BE161F">
        <w:rPr>
          <w:rFonts w:eastAsia="Times New Roman" w:cs="Tahoma"/>
          <w:bCs/>
          <w:szCs w:val="20"/>
          <w:lang w:eastAsia="it-IT"/>
        </w:rPr>
        <w:t>Professionisti )</w:t>
      </w:r>
      <w:proofErr w:type="gramEnd"/>
      <w:r w:rsidR="00BE161F">
        <w:rPr>
          <w:rFonts w:eastAsia="Times New Roman" w:cs="Tahoma"/>
          <w:bCs/>
          <w:szCs w:val="20"/>
          <w:lang w:eastAsia="it-IT"/>
        </w:rPr>
        <w:t>.</w:t>
      </w:r>
    </w:p>
    <w:p w14:paraId="391DF3D4" w14:textId="77777777" w:rsidR="00BE161F" w:rsidRDefault="00BE161F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</w:p>
    <w:p w14:paraId="263C7EDC" w14:textId="13D3A2EC" w:rsidR="00BE161F" w:rsidRDefault="00BE161F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 xml:space="preserve">Tra queste emerge </w:t>
      </w:r>
      <w:r w:rsidRPr="00BE161F">
        <w:rPr>
          <w:rFonts w:eastAsia="Times New Roman" w:cs="Tahoma"/>
          <w:b/>
          <w:szCs w:val="20"/>
          <w:u w:val="single"/>
          <w:lang w:eastAsia="it-IT"/>
        </w:rPr>
        <w:t xml:space="preserve">l’uso non corretto delle </w:t>
      </w:r>
      <w:proofErr w:type="gramStart"/>
      <w:r w:rsidRPr="00BE161F">
        <w:rPr>
          <w:rFonts w:eastAsia="Times New Roman" w:cs="Tahoma"/>
          <w:b/>
          <w:szCs w:val="20"/>
          <w:u w:val="single"/>
          <w:lang w:eastAsia="it-IT"/>
        </w:rPr>
        <w:t>PLE</w:t>
      </w:r>
      <w:r>
        <w:rPr>
          <w:rFonts w:eastAsia="Times New Roman" w:cs="Tahoma"/>
          <w:bCs/>
          <w:szCs w:val="20"/>
          <w:lang w:eastAsia="it-IT"/>
        </w:rPr>
        <w:t xml:space="preserve"> ,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nella maggior parte dei casi. In merito a </w:t>
      </w:r>
      <w:proofErr w:type="gramStart"/>
      <w:r>
        <w:rPr>
          <w:rFonts w:eastAsia="Times New Roman" w:cs="Tahoma"/>
          <w:bCs/>
          <w:szCs w:val="20"/>
          <w:lang w:eastAsia="it-IT"/>
        </w:rPr>
        <w:t>ciò ,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gli Ispettori rimarcano la necessità di …………………………………………………………………………………………………</w:t>
      </w:r>
    </w:p>
    <w:p w14:paraId="59E4A9B3" w14:textId="77777777" w:rsidR="00BE161F" w:rsidRDefault="00BE161F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</w:p>
    <w:p w14:paraId="0F319B0E" w14:textId="4D1FD96B" w:rsidR="00BE161F" w:rsidRDefault="00BE161F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 xml:space="preserve">Un’altra </w:t>
      </w:r>
      <w:r w:rsidRPr="00BE161F">
        <w:rPr>
          <w:rFonts w:eastAsia="Times New Roman" w:cs="Tahoma"/>
          <w:b/>
          <w:szCs w:val="20"/>
          <w:u w:val="single"/>
          <w:lang w:eastAsia="it-IT"/>
        </w:rPr>
        <w:t>mancanza</w:t>
      </w:r>
      <w:r>
        <w:rPr>
          <w:rFonts w:eastAsia="Times New Roman" w:cs="Tahoma"/>
          <w:bCs/>
          <w:szCs w:val="20"/>
          <w:lang w:eastAsia="it-IT"/>
        </w:rPr>
        <w:t xml:space="preserve"> frequentemente rilevata è quella relativa alla “</w:t>
      </w:r>
      <w:r w:rsidRPr="00BE161F">
        <w:rPr>
          <w:rFonts w:eastAsia="Times New Roman" w:cs="Tahoma"/>
          <w:b/>
          <w:szCs w:val="20"/>
          <w:u w:val="single"/>
          <w:lang w:eastAsia="it-IT"/>
        </w:rPr>
        <w:t>relazione geotecnica</w:t>
      </w:r>
      <w:r>
        <w:rPr>
          <w:rFonts w:eastAsia="Times New Roman" w:cs="Tahoma"/>
          <w:bCs/>
          <w:szCs w:val="20"/>
          <w:lang w:eastAsia="it-IT"/>
        </w:rPr>
        <w:t xml:space="preserve"> </w:t>
      </w:r>
      <w:proofErr w:type="gramStart"/>
      <w:r>
        <w:rPr>
          <w:rFonts w:eastAsia="Times New Roman" w:cs="Tahoma"/>
          <w:bCs/>
          <w:szCs w:val="20"/>
          <w:lang w:eastAsia="it-IT"/>
        </w:rPr>
        <w:t>“ in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presenza di realizzazione di scavi, obbligo specificato dagli artt. 118 e 119 del </w:t>
      </w:r>
      <w:proofErr w:type="spellStart"/>
      <w:r>
        <w:rPr>
          <w:rFonts w:eastAsia="Times New Roman" w:cs="Tahoma"/>
          <w:bCs/>
          <w:szCs w:val="20"/>
          <w:lang w:eastAsia="it-IT"/>
        </w:rPr>
        <w:t>D.Lgs.</w:t>
      </w:r>
      <w:proofErr w:type="spellEnd"/>
      <w:r>
        <w:rPr>
          <w:rFonts w:eastAsia="Times New Roman" w:cs="Tahoma"/>
          <w:bCs/>
          <w:szCs w:val="20"/>
          <w:lang w:eastAsia="it-IT"/>
        </w:rPr>
        <w:t xml:space="preserve"> 81/08.</w:t>
      </w:r>
    </w:p>
    <w:p w14:paraId="4855AE09" w14:textId="63C73339" w:rsidR="00BE161F" w:rsidRDefault="00BE161F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 xml:space="preserve">Per tale violazione gli ispettori ricordano che è prevista </w:t>
      </w:r>
      <w:proofErr w:type="gramStart"/>
      <w:r>
        <w:rPr>
          <w:rFonts w:eastAsia="Times New Roman" w:cs="Tahoma"/>
          <w:bCs/>
          <w:szCs w:val="20"/>
          <w:lang w:eastAsia="it-IT"/>
        </w:rPr>
        <w:t>“ l’immediata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sospensione dei lavori “.</w:t>
      </w:r>
    </w:p>
    <w:p w14:paraId="5764CF38" w14:textId="77777777" w:rsidR="00BE161F" w:rsidRDefault="00BE161F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</w:p>
    <w:p w14:paraId="143B3249" w14:textId="6CB96F1A" w:rsidR="00BE161F" w:rsidRDefault="0029119C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 xml:space="preserve">Poiché si sta avvicinando la stagione </w:t>
      </w:r>
      <w:proofErr w:type="gramStart"/>
      <w:r>
        <w:rPr>
          <w:rFonts w:eastAsia="Times New Roman" w:cs="Tahoma"/>
          <w:bCs/>
          <w:szCs w:val="20"/>
          <w:lang w:eastAsia="it-IT"/>
        </w:rPr>
        <w:t>estiva ,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si ricorda l’importanza e l’obbligatorietà della </w:t>
      </w:r>
      <w:r w:rsidRPr="0029119C">
        <w:rPr>
          <w:rFonts w:eastAsia="Times New Roman" w:cs="Tahoma"/>
          <w:b/>
          <w:szCs w:val="20"/>
          <w:u w:val="single"/>
          <w:lang w:eastAsia="it-IT"/>
        </w:rPr>
        <w:t xml:space="preserve">Valutazione del Rischio </w:t>
      </w:r>
      <w:proofErr w:type="gramStart"/>
      <w:r w:rsidRPr="0029119C">
        <w:rPr>
          <w:rFonts w:eastAsia="Times New Roman" w:cs="Tahoma"/>
          <w:b/>
          <w:szCs w:val="20"/>
          <w:u w:val="single"/>
          <w:lang w:eastAsia="it-IT"/>
        </w:rPr>
        <w:t>Calore  nei</w:t>
      </w:r>
      <w:proofErr w:type="gramEnd"/>
      <w:r w:rsidRPr="0029119C">
        <w:rPr>
          <w:rFonts w:eastAsia="Times New Roman" w:cs="Tahoma"/>
          <w:b/>
          <w:szCs w:val="20"/>
          <w:u w:val="single"/>
          <w:lang w:eastAsia="it-IT"/>
        </w:rPr>
        <w:t xml:space="preserve"> cantieri edili</w:t>
      </w:r>
      <w:r>
        <w:rPr>
          <w:rFonts w:eastAsia="Times New Roman" w:cs="Tahoma"/>
          <w:bCs/>
          <w:szCs w:val="20"/>
          <w:lang w:eastAsia="it-IT"/>
        </w:rPr>
        <w:t xml:space="preserve">, con la previsione della messa in atto di tutte le misure </w:t>
      </w:r>
      <w:proofErr w:type="gramStart"/>
      <w:r>
        <w:rPr>
          <w:rFonts w:eastAsia="Times New Roman" w:cs="Tahoma"/>
          <w:bCs/>
          <w:szCs w:val="20"/>
          <w:lang w:eastAsia="it-IT"/>
        </w:rPr>
        <w:t>necessarie  a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contrastare tale rischio </w:t>
      </w:r>
      <w:proofErr w:type="gramStart"/>
      <w:r>
        <w:rPr>
          <w:rFonts w:eastAsia="Times New Roman" w:cs="Tahoma"/>
          <w:bCs/>
          <w:szCs w:val="20"/>
          <w:lang w:eastAsia="it-IT"/>
        </w:rPr>
        <w:t>( presidi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igienico-assistenziali adeguati dotati di aria </w:t>
      </w:r>
      <w:proofErr w:type="gramStart"/>
      <w:r>
        <w:rPr>
          <w:rFonts w:eastAsia="Times New Roman" w:cs="Tahoma"/>
          <w:bCs/>
          <w:szCs w:val="20"/>
          <w:lang w:eastAsia="it-IT"/>
        </w:rPr>
        <w:t>condizionata ,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acqua potabile a disposizione, cassetta di P.S. sempre presente e completa di medicinali e accessori non </w:t>
      </w:r>
      <w:proofErr w:type="gramStart"/>
      <w:r>
        <w:rPr>
          <w:rFonts w:eastAsia="Times New Roman" w:cs="Tahoma"/>
          <w:bCs/>
          <w:szCs w:val="20"/>
          <w:lang w:eastAsia="it-IT"/>
        </w:rPr>
        <w:t>scaduti )</w:t>
      </w:r>
      <w:proofErr w:type="gramEnd"/>
      <w:r>
        <w:rPr>
          <w:rFonts w:eastAsia="Times New Roman" w:cs="Tahoma"/>
          <w:bCs/>
          <w:szCs w:val="20"/>
          <w:lang w:eastAsia="it-IT"/>
        </w:rPr>
        <w:t>. A tal proposito si allega un link relativo ad una recente sentenza della Corte di cassazione, in merito alla condanna di un CSE.</w:t>
      </w:r>
      <w:r w:rsidR="009D2B61">
        <w:rPr>
          <w:rFonts w:eastAsia="Times New Roman" w:cs="Tahoma"/>
          <w:bCs/>
          <w:szCs w:val="20"/>
          <w:lang w:eastAsia="it-IT"/>
        </w:rPr>
        <w:t xml:space="preserve"> </w:t>
      </w:r>
    </w:p>
    <w:p w14:paraId="73784CC4" w14:textId="27B4114D" w:rsid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hyperlink r:id="rId6" w:history="1">
        <w:r w:rsidRPr="008D19CC">
          <w:rPr>
            <w:rStyle w:val="Collegamentoipertestuale"/>
            <w:rFonts w:eastAsia="Times New Roman" w:cs="Tahoma"/>
            <w:bCs/>
            <w:szCs w:val="20"/>
            <w:lang w:eastAsia="it-IT"/>
          </w:rPr>
          <w:t>https://www.linkedin.com/posts/anna-guardavilla-52179717a_colpo-di-calore-in-cantiere-e-responsabilit%C3%A0-activity-7294962313936183296-BfiE</w:t>
        </w:r>
      </w:hyperlink>
    </w:p>
    <w:p w14:paraId="6CBA4248" w14:textId="77777777" w:rsid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</w:p>
    <w:p w14:paraId="2E8D8C52" w14:textId="5EBFEEE0" w:rsidR="0029119C" w:rsidRDefault="0029119C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 xml:space="preserve">Si coglie anche l’occasione per ricordare che lo “sfigmomanometro </w:t>
      </w:r>
      <w:proofErr w:type="gramStart"/>
      <w:r>
        <w:rPr>
          <w:rFonts w:eastAsia="Times New Roman" w:cs="Tahoma"/>
          <w:bCs/>
          <w:szCs w:val="20"/>
          <w:lang w:eastAsia="it-IT"/>
        </w:rPr>
        <w:t>“ presente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nelle cassette di P.S. deve saper essere utilizzato in modo corretto dagli addetti alle emergenze e P.S. Poiché si ritiene di non semplice utilizzo, si consiglia di dotarsi di un misuratore di pressione elettronico, dotato di pile di </w:t>
      </w:r>
      <w:proofErr w:type="gramStart"/>
      <w:r>
        <w:rPr>
          <w:rFonts w:eastAsia="Times New Roman" w:cs="Tahoma"/>
          <w:bCs/>
          <w:szCs w:val="20"/>
          <w:lang w:eastAsia="it-IT"/>
        </w:rPr>
        <w:t>ricambio ,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in modo che possa </w:t>
      </w:r>
      <w:proofErr w:type="gramStart"/>
      <w:r>
        <w:rPr>
          <w:rFonts w:eastAsia="Times New Roman" w:cs="Tahoma"/>
          <w:bCs/>
          <w:szCs w:val="20"/>
          <w:lang w:eastAsia="it-IT"/>
        </w:rPr>
        <w:t>essere ,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in ogni caso, utilizzato da chiunque.</w:t>
      </w:r>
    </w:p>
    <w:p w14:paraId="3D2CC86A" w14:textId="77777777" w:rsid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</w:p>
    <w:p w14:paraId="04CE23D7" w14:textId="2AE2AF32" w:rsid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u w:val="single"/>
          <w:lang w:eastAsia="it-IT"/>
        </w:rPr>
      </w:pPr>
      <w:r w:rsidRPr="009D2B61">
        <w:rPr>
          <w:rFonts w:eastAsia="Times New Roman" w:cs="Tahoma"/>
          <w:b/>
          <w:szCs w:val="20"/>
          <w:u w:val="single"/>
          <w:lang w:eastAsia="it-IT"/>
        </w:rPr>
        <w:t>CONCLUSIONI:</w:t>
      </w:r>
    </w:p>
    <w:p w14:paraId="1BB7C64F" w14:textId="39BC922C" w:rsid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/>
          <w:szCs w:val="20"/>
          <w:u w:val="single"/>
          <w:lang w:eastAsia="it-IT"/>
        </w:rPr>
      </w:pPr>
    </w:p>
    <w:p w14:paraId="4DBE9797" w14:textId="4B900A1E" w:rsid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 xml:space="preserve">Poiché lo scopo del Tavolo Tecnico è quello di supportare tecnici ed imprese nello svolgimento delle proprie attività, oltre alla pubblicazione dei Verbali sul sito della SEI-CPT, si chiederà di condividerli anche attraverso i siti della Cassa </w:t>
      </w:r>
      <w:proofErr w:type="gramStart"/>
      <w:r>
        <w:rPr>
          <w:rFonts w:eastAsia="Times New Roman" w:cs="Tahoma"/>
          <w:bCs/>
          <w:szCs w:val="20"/>
          <w:lang w:eastAsia="it-IT"/>
        </w:rPr>
        <w:t>Edile ,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dell’ANCE e delle associazioni </w:t>
      </w:r>
      <w:proofErr w:type="gramStart"/>
      <w:r>
        <w:rPr>
          <w:rFonts w:eastAsia="Times New Roman" w:cs="Tahoma"/>
          <w:bCs/>
          <w:szCs w:val="20"/>
          <w:lang w:eastAsia="it-IT"/>
        </w:rPr>
        <w:t>sindacali .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Raccomandiamo comunque sempre la massima divulgazione anche agli ordini professionali che intervengono ai tavoli tecnici con loro rappresentanti.</w:t>
      </w:r>
    </w:p>
    <w:p w14:paraId="232E4B49" w14:textId="62F91DCB" w:rsid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 xml:space="preserve">Durante il prossimo incontro si prevede di </w:t>
      </w:r>
      <w:r w:rsidRPr="009D2B61">
        <w:rPr>
          <w:rFonts w:eastAsia="Times New Roman" w:cs="Tahoma"/>
          <w:bCs/>
          <w:szCs w:val="20"/>
          <w:u w:val="single"/>
          <w:lang w:eastAsia="it-IT"/>
        </w:rPr>
        <w:t>aggiornare la check list dei documenti di cantiere</w:t>
      </w:r>
      <w:r>
        <w:rPr>
          <w:rFonts w:eastAsia="Times New Roman" w:cs="Tahoma"/>
          <w:bCs/>
          <w:szCs w:val="20"/>
          <w:lang w:eastAsia="it-IT"/>
        </w:rPr>
        <w:t xml:space="preserve">, viste le novità normative sopravvenute, </w:t>
      </w:r>
      <w:proofErr w:type="gramStart"/>
      <w:r>
        <w:rPr>
          <w:rFonts w:eastAsia="Times New Roman" w:cs="Tahoma"/>
          <w:bCs/>
          <w:szCs w:val="20"/>
          <w:lang w:eastAsia="it-IT"/>
        </w:rPr>
        <w:t>( es.</w:t>
      </w:r>
      <w:proofErr w:type="gramEnd"/>
      <w:r>
        <w:rPr>
          <w:rFonts w:eastAsia="Times New Roman" w:cs="Tahoma"/>
          <w:bCs/>
          <w:szCs w:val="20"/>
          <w:lang w:eastAsia="it-IT"/>
        </w:rPr>
        <w:t xml:space="preserve"> patente a punti ), dal momento della redazione di tale documento ad oggi.</w:t>
      </w:r>
    </w:p>
    <w:p w14:paraId="2E69C4FF" w14:textId="77777777" w:rsid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</w:p>
    <w:p w14:paraId="4F10A470" w14:textId="7AFED8DA" w:rsidR="009D2B61" w:rsidRPr="009D2B61" w:rsidRDefault="009D2B61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  <w:r>
        <w:rPr>
          <w:rFonts w:eastAsia="Times New Roman" w:cs="Tahoma"/>
          <w:bCs/>
          <w:szCs w:val="20"/>
          <w:lang w:eastAsia="it-IT"/>
        </w:rPr>
        <w:t>La seduta è tolta alle ore 11,30</w:t>
      </w:r>
    </w:p>
    <w:p w14:paraId="2D1B8540" w14:textId="77777777" w:rsidR="00BE161F" w:rsidRPr="003F375D" w:rsidRDefault="00BE161F" w:rsidP="007476A6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bCs/>
          <w:szCs w:val="20"/>
          <w:lang w:eastAsia="it-IT"/>
        </w:rPr>
      </w:pPr>
    </w:p>
    <w:p w14:paraId="5E2C02BD" w14:textId="3EF00A45" w:rsidR="00B41012" w:rsidRPr="00B41012" w:rsidRDefault="00B41012" w:rsidP="00E03F9E">
      <w:pPr>
        <w:tabs>
          <w:tab w:val="center" w:pos="4819"/>
          <w:tab w:val="right" w:pos="9638"/>
        </w:tabs>
        <w:ind w:right="-1"/>
        <w:jc w:val="both"/>
        <w:rPr>
          <w:rFonts w:eastAsia="Times New Roman" w:cs="Tahoma"/>
          <w:szCs w:val="20"/>
          <w:lang w:eastAsia="it-IT"/>
        </w:rPr>
      </w:pPr>
    </w:p>
    <w:p w14:paraId="4D86D0D7" w14:textId="34BD6AC9" w:rsidR="00F03AF5" w:rsidRPr="00942386" w:rsidRDefault="00F03AF5" w:rsidP="00307F3D">
      <w:pPr>
        <w:tabs>
          <w:tab w:val="center" w:pos="4819"/>
          <w:tab w:val="right" w:pos="9638"/>
        </w:tabs>
        <w:ind w:right="-1"/>
        <w:rPr>
          <w:rFonts w:eastAsia="Times New Roman" w:cs="Tahoma"/>
          <w:szCs w:val="20"/>
          <w:lang w:eastAsia="it-IT"/>
        </w:rPr>
      </w:pPr>
    </w:p>
    <w:p w14:paraId="06038A9D" w14:textId="0D98B64A" w:rsidR="00940CF4" w:rsidRPr="00942386" w:rsidRDefault="00254FEF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                                                          </w:t>
      </w:r>
      <w:r w:rsidR="00940CF4" w:rsidRPr="00942386">
        <w:rPr>
          <w:rFonts w:eastAsia="Times New Roman" w:cs="Tahoma"/>
          <w:szCs w:val="20"/>
          <w:lang w:eastAsia="it-IT"/>
        </w:rPr>
        <w:t>Il Verbalizzante</w:t>
      </w:r>
    </w:p>
    <w:p w14:paraId="2546AB7A" w14:textId="6B6DF2E9" w:rsidR="00940CF4" w:rsidRPr="00942386" w:rsidRDefault="00254FEF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                                                          </w:t>
      </w:r>
      <w:r w:rsidR="00940CF4" w:rsidRPr="00942386">
        <w:rPr>
          <w:rFonts w:eastAsia="Times New Roman" w:cs="Tahoma"/>
          <w:szCs w:val="20"/>
          <w:lang w:eastAsia="it-IT"/>
        </w:rPr>
        <w:t>Ing. Paola Fognini</w:t>
      </w:r>
    </w:p>
    <w:p w14:paraId="1FB947D8" w14:textId="77777777" w:rsidR="009D2B61" w:rsidRPr="00942386" w:rsidRDefault="009D2B61" w:rsidP="00940CF4">
      <w:pPr>
        <w:tabs>
          <w:tab w:val="center" w:pos="4819"/>
          <w:tab w:val="right" w:pos="9638"/>
        </w:tabs>
        <w:ind w:right="-1"/>
        <w:jc w:val="center"/>
        <w:rPr>
          <w:rFonts w:eastAsia="Times New Roman" w:cs="Tahoma"/>
          <w:szCs w:val="20"/>
          <w:lang w:eastAsia="it-IT"/>
        </w:rPr>
      </w:pPr>
    </w:p>
    <w:p w14:paraId="1797512F" w14:textId="77B01409" w:rsidR="00A13853" w:rsidRDefault="005379A4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 xml:space="preserve">   </w:t>
      </w:r>
      <w:r w:rsidR="00254FEF">
        <w:rPr>
          <w:rFonts w:eastAsia="Times New Roman" w:cs="Tahoma"/>
          <w:szCs w:val="20"/>
          <w:lang w:eastAsia="it-IT"/>
        </w:rPr>
        <w:t xml:space="preserve">                                                            </w:t>
      </w:r>
      <w:r>
        <w:rPr>
          <w:rFonts w:eastAsia="Times New Roman" w:cs="Tahoma"/>
          <w:szCs w:val="20"/>
          <w:lang w:eastAsia="it-IT"/>
        </w:rPr>
        <w:t xml:space="preserve"> </w:t>
      </w:r>
      <w:r w:rsidR="00A13853" w:rsidRPr="00942386">
        <w:rPr>
          <w:rFonts w:eastAsia="Times New Roman" w:cs="Tahoma"/>
          <w:szCs w:val="20"/>
          <w:lang w:eastAsia="it-IT"/>
        </w:rPr>
        <w:t>__________________</w:t>
      </w:r>
    </w:p>
    <w:p w14:paraId="580809EB" w14:textId="77777777" w:rsidR="009D2B61" w:rsidRDefault="009D2B61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szCs w:val="20"/>
          <w:lang w:eastAsia="it-IT"/>
        </w:rPr>
      </w:pPr>
    </w:p>
    <w:p w14:paraId="63EAF16E" w14:textId="77777777" w:rsidR="009D2B61" w:rsidRDefault="009D2B61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szCs w:val="20"/>
          <w:lang w:eastAsia="it-IT"/>
        </w:rPr>
      </w:pPr>
    </w:p>
    <w:p w14:paraId="0AA10CED" w14:textId="77777777" w:rsidR="009D2B61" w:rsidRDefault="009D2B61" w:rsidP="00940CF4">
      <w:pPr>
        <w:tabs>
          <w:tab w:val="center" w:pos="4819"/>
          <w:tab w:val="right" w:pos="9638"/>
        </w:tabs>
        <w:ind w:right="283"/>
        <w:jc w:val="center"/>
        <w:rPr>
          <w:rFonts w:eastAsia="Times New Roman" w:cs="Tahoma"/>
          <w:szCs w:val="20"/>
          <w:lang w:eastAsia="it-IT"/>
        </w:rPr>
      </w:pPr>
    </w:p>
    <w:p w14:paraId="56CE982F" w14:textId="37272D6E" w:rsidR="009D2B61" w:rsidRPr="00942386" w:rsidRDefault="009D2B61" w:rsidP="009D2B61">
      <w:pPr>
        <w:tabs>
          <w:tab w:val="center" w:pos="4819"/>
          <w:tab w:val="right" w:pos="9638"/>
        </w:tabs>
        <w:ind w:right="283"/>
        <w:rPr>
          <w:rFonts w:eastAsia="Times New Roman" w:cs="Tahoma"/>
          <w:color w:val="FF0000"/>
          <w:szCs w:val="20"/>
          <w:lang w:eastAsia="it-IT"/>
        </w:rPr>
      </w:pPr>
      <w:r>
        <w:rPr>
          <w:rFonts w:eastAsia="Times New Roman" w:cs="Tahoma"/>
          <w:szCs w:val="20"/>
          <w:lang w:eastAsia="it-IT"/>
        </w:rPr>
        <w:t>Imperia, 02.04.2025</w:t>
      </w:r>
    </w:p>
    <w:sectPr w:rsidR="009D2B61" w:rsidRPr="00942386" w:rsidSect="00A138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6CA5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1580A"/>
    <w:multiLevelType w:val="hybridMultilevel"/>
    <w:tmpl w:val="70669456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F230E"/>
    <w:multiLevelType w:val="hybridMultilevel"/>
    <w:tmpl w:val="1104393E"/>
    <w:lvl w:ilvl="0" w:tplc="E3B409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04230"/>
    <w:multiLevelType w:val="hybridMultilevel"/>
    <w:tmpl w:val="B7746C38"/>
    <w:lvl w:ilvl="0" w:tplc="35F09E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C6341"/>
    <w:multiLevelType w:val="multilevel"/>
    <w:tmpl w:val="075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E12A44"/>
    <w:multiLevelType w:val="hybridMultilevel"/>
    <w:tmpl w:val="E448394C"/>
    <w:lvl w:ilvl="0" w:tplc="1AFA40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46090">
    <w:abstractNumId w:val="5"/>
  </w:num>
  <w:num w:numId="2" w16cid:durableId="1367021690">
    <w:abstractNumId w:val="1"/>
  </w:num>
  <w:num w:numId="3" w16cid:durableId="818183066">
    <w:abstractNumId w:val="3"/>
  </w:num>
  <w:num w:numId="4" w16cid:durableId="681322521">
    <w:abstractNumId w:val="4"/>
  </w:num>
  <w:num w:numId="5" w16cid:durableId="1979260387">
    <w:abstractNumId w:val="0"/>
  </w:num>
  <w:num w:numId="6" w16cid:durableId="744573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53"/>
    <w:rsid w:val="000246F6"/>
    <w:rsid w:val="000462C8"/>
    <w:rsid w:val="00046EC6"/>
    <w:rsid w:val="00054F7D"/>
    <w:rsid w:val="00062DCE"/>
    <w:rsid w:val="00065D91"/>
    <w:rsid w:val="00074866"/>
    <w:rsid w:val="00084332"/>
    <w:rsid w:val="000854B9"/>
    <w:rsid w:val="000B1D7A"/>
    <w:rsid w:val="000D2FDC"/>
    <w:rsid w:val="000E3302"/>
    <w:rsid w:val="000E5D9E"/>
    <w:rsid w:val="000F3827"/>
    <w:rsid w:val="000F5F82"/>
    <w:rsid w:val="0010177B"/>
    <w:rsid w:val="00103962"/>
    <w:rsid w:val="00105C6F"/>
    <w:rsid w:val="0011044D"/>
    <w:rsid w:val="00110E7E"/>
    <w:rsid w:val="00124532"/>
    <w:rsid w:val="001276F5"/>
    <w:rsid w:val="001513DA"/>
    <w:rsid w:val="00151C84"/>
    <w:rsid w:val="001630D5"/>
    <w:rsid w:val="001818DC"/>
    <w:rsid w:val="001C2B7C"/>
    <w:rsid w:val="001D06DF"/>
    <w:rsid w:val="001E477F"/>
    <w:rsid w:val="001F6ADF"/>
    <w:rsid w:val="00203EFE"/>
    <w:rsid w:val="00220953"/>
    <w:rsid w:val="002210D3"/>
    <w:rsid w:val="0023549E"/>
    <w:rsid w:val="0024534B"/>
    <w:rsid w:val="002462AC"/>
    <w:rsid w:val="00254FEF"/>
    <w:rsid w:val="00275F40"/>
    <w:rsid w:val="0029119C"/>
    <w:rsid w:val="00293CAB"/>
    <w:rsid w:val="00294C63"/>
    <w:rsid w:val="002C3119"/>
    <w:rsid w:val="002D1278"/>
    <w:rsid w:val="002D2EBA"/>
    <w:rsid w:val="002D4097"/>
    <w:rsid w:val="002D6E24"/>
    <w:rsid w:val="002E7BC4"/>
    <w:rsid w:val="00307F3D"/>
    <w:rsid w:val="003146B8"/>
    <w:rsid w:val="00314AB3"/>
    <w:rsid w:val="00320DD2"/>
    <w:rsid w:val="0032136C"/>
    <w:rsid w:val="00323DF4"/>
    <w:rsid w:val="00334EC6"/>
    <w:rsid w:val="003379F3"/>
    <w:rsid w:val="00337B64"/>
    <w:rsid w:val="0034684E"/>
    <w:rsid w:val="00354A69"/>
    <w:rsid w:val="00355461"/>
    <w:rsid w:val="00356F45"/>
    <w:rsid w:val="0038365F"/>
    <w:rsid w:val="003A76E2"/>
    <w:rsid w:val="003C0919"/>
    <w:rsid w:val="003D478B"/>
    <w:rsid w:val="003E0145"/>
    <w:rsid w:val="003E1CAF"/>
    <w:rsid w:val="003F375D"/>
    <w:rsid w:val="00403CB5"/>
    <w:rsid w:val="004117E9"/>
    <w:rsid w:val="00411930"/>
    <w:rsid w:val="00412981"/>
    <w:rsid w:val="00412E16"/>
    <w:rsid w:val="00415598"/>
    <w:rsid w:val="00472A75"/>
    <w:rsid w:val="004763D8"/>
    <w:rsid w:val="004A3565"/>
    <w:rsid w:val="004B4B80"/>
    <w:rsid w:val="004D7C16"/>
    <w:rsid w:val="004E3784"/>
    <w:rsid w:val="004F0515"/>
    <w:rsid w:val="0050461C"/>
    <w:rsid w:val="00524B4E"/>
    <w:rsid w:val="00536CA4"/>
    <w:rsid w:val="005379A4"/>
    <w:rsid w:val="00560ADF"/>
    <w:rsid w:val="00563CD3"/>
    <w:rsid w:val="00584BE5"/>
    <w:rsid w:val="00586E4C"/>
    <w:rsid w:val="005B6BAB"/>
    <w:rsid w:val="005B7EB1"/>
    <w:rsid w:val="005C19DB"/>
    <w:rsid w:val="005C1C8E"/>
    <w:rsid w:val="005F7C3C"/>
    <w:rsid w:val="00601D04"/>
    <w:rsid w:val="00607FC9"/>
    <w:rsid w:val="00616E4B"/>
    <w:rsid w:val="00617487"/>
    <w:rsid w:val="00625AF1"/>
    <w:rsid w:val="006458B3"/>
    <w:rsid w:val="006479A8"/>
    <w:rsid w:val="00663B12"/>
    <w:rsid w:val="00670C3F"/>
    <w:rsid w:val="00676B0E"/>
    <w:rsid w:val="0068210E"/>
    <w:rsid w:val="006830F5"/>
    <w:rsid w:val="006A6C46"/>
    <w:rsid w:val="006D63A7"/>
    <w:rsid w:val="00706471"/>
    <w:rsid w:val="007240EE"/>
    <w:rsid w:val="0073587D"/>
    <w:rsid w:val="00742CD0"/>
    <w:rsid w:val="00743961"/>
    <w:rsid w:val="007476A6"/>
    <w:rsid w:val="007638B6"/>
    <w:rsid w:val="00792C22"/>
    <w:rsid w:val="007A0354"/>
    <w:rsid w:val="007A11C3"/>
    <w:rsid w:val="007B7F19"/>
    <w:rsid w:val="007D49AC"/>
    <w:rsid w:val="007E5E1D"/>
    <w:rsid w:val="008065DD"/>
    <w:rsid w:val="00814EFA"/>
    <w:rsid w:val="00821DF6"/>
    <w:rsid w:val="008467E8"/>
    <w:rsid w:val="00854DF3"/>
    <w:rsid w:val="008557A9"/>
    <w:rsid w:val="00860364"/>
    <w:rsid w:val="0089705D"/>
    <w:rsid w:val="008C76F0"/>
    <w:rsid w:val="008D35C2"/>
    <w:rsid w:val="008D446C"/>
    <w:rsid w:val="008E3E50"/>
    <w:rsid w:val="008F0199"/>
    <w:rsid w:val="008F159A"/>
    <w:rsid w:val="008F233D"/>
    <w:rsid w:val="00903FA9"/>
    <w:rsid w:val="009168F2"/>
    <w:rsid w:val="00940CF4"/>
    <w:rsid w:val="00942386"/>
    <w:rsid w:val="00960079"/>
    <w:rsid w:val="00963275"/>
    <w:rsid w:val="0096703D"/>
    <w:rsid w:val="00970062"/>
    <w:rsid w:val="00973EA9"/>
    <w:rsid w:val="00993523"/>
    <w:rsid w:val="009B5FA8"/>
    <w:rsid w:val="009C1C26"/>
    <w:rsid w:val="009D2B61"/>
    <w:rsid w:val="009F0D17"/>
    <w:rsid w:val="009F145A"/>
    <w:rsid w:val="00A0034D"/>
    <w:rsid w:val="00A107E3"/>
    <w:rsid w:val="00A13853"/>
    <w:rsid w:val="00A155B4"/>
    <w:rsid w:val="00A20876"/>
    <w:rsid w:val="00A46690"/>
    <w:rsid w:val="00A7331F"/>
    <w:rsid w:val="00A81F89"/>
    <w:rsid w:val="00AB5361"/>
    <w:rsid w:val="00AB7A1E"/>
    <w:rsid w:val="00AC1017"/>
    <w:rsid w:val="00AE2D3D"/>
    <w:rsid w:val="00B120B3"/>
    <w:rsid w:val="00B263F5"/>
    <w:rsid w:val="00B26FD4"/>
    <w:rsid w:val="00B36351"/>
    <w:rsid w:val="00B3716B"/>
    <w:rsid w:val="00B403CE"/>
    <w:rsid w:val="00B41012"/>
    <w:rsid w:val="00B410AF"/>
    <w:rsid w:val="00B82CD5"/>
    <w:rsid w:val="00B9311A"/>
    <w:rsid w:val="00B9436C"/>
    <w:rsid w:val="00B95410"/>
    <w:rsid w:val="00BB0EC8"/>
    <w:rsid w:val="00BB1A69"/>
    <w:rsid w:val="00BB1DD9"/>
    <w:rsid w:val="00BB54B0"/>
    <w:rsid w:val="00BB59F3"/>
    <w:rsid w:val="00BC6F2A"/>
    <w:rsid w:val="00BD2EC0"/>
    <w:rsid w:val="00BE161F"/>
    <w:rsid w:val="00BF123F"/>
    <w:rsid w:val="00BF17F8"/>
    <w:rsid w:val="00C0434E"/>
    <w:rsid w:val="00C10609"/>
    <w:rsid w:val="00C2035B"/>
    <w:rsid w:val="00C21EB0"/>
    <w:rsid w:val="00C23C99"/>
    <w:rsid w:val="00C34D8B"/>
    <w:rsid w:val="00C50226"/>
    <w:rsid w:val="00C54D2C"/>
    <w:rsid w:val="00C55E0A"/>
    <w:rsid w:val="00C658DE"/>
    <w:rsid w:val="00C65E1A"/>
    <w:rsid w:val="00C76CF1"/>
    <w:rsid w:val="00C8446B"/>
    <w:rsid w:val="00C9183E"/>
    <w:rsid w:val="00CF1423"/>
    <w:rsid w:val="00D12BC3"/>
    <w:rsid w:val="00D159F3"/>
    <w:rsid w:val="00D31900"/>
    <w:rsid w:val="00D347CC"/>
    <w:rsid w:val="00D41FCD"/>
    <w:rsid w:val="00D536E7"/>
    <w:rsid w:val="00D6276F"/>
    <w:rsid w:val="00D66472"/>
    <w:rsid w:val="00D876A4"/>
    <w:rsid w:val="00DA251C"/>
    <w:rsid w:val="00DA7E87"/>
    <w:rsid w:val="00DA7F0C"/>
    <w:rsid w:val="00DB4FC2"/>
    <w:rsid w:val="00DB5675"/>
    <w:rsid w:val="00DC7DEF"/>
    <w:rsid w:val="00DD6181"/>
    <w:rsid w:val="00DE368E"/>
    <w:rsid w:val="00DE7A87"/>
    <w:rsid w:val="00E02181"/>
    <w:rsid w:val="00E03F9E"/>
    <w:rsid w:val="00E13A19"/>
    <w:rsid w:val="00E160C7"/>
    <w:rsid w:val="00E2040A"/>
    <w:rsid w:val="00E23B4F"/>
    <w:rsid w:val="00E46F58"/>
    <w:rsid w:val="00E50F08"/>
    <w:rsid w:val="00E6629D"/>
    <w:rsid w:val="00E74060"/>
    <w:rsid w:val="00E83A3F"/>
    <w:rsid w:val="00E84EC5"/>
    <w:rsid w:val="00EA6B6D"/>
    <w:rsid w:val="00EB4208"/>
    <w:rsid w:val="00EC7750"/>
    <w:rsid w:val="00ED24F2"/>
    <w:rsid w:val="00F03AF5"/>
    <w:rsid w:val="00F25209"/>
    <w:rsid w:val="00F4020E"/>
    <w:rsid w:val="00F76B2A"/>
    <w:rsid w:val="00F838BA"/>
    <w:rsid w:val="00FA484B"/>
    <w:rsid w:val="00FA6DE6"/>
    <w:rsid w:val="00FB489F"/>
    <w:rsid w:val="00FD76C4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4505"/>
  <w15:chartTrackingRefBased/>
  <w15:docId w15:val="{DA66DAF1-87A8-4E1E-B95D-5550808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386"/>
    <w:pPr>
      <w:spacing w:after="0" w:line="240" w:lineRule="auto"/>
    </w:pPr>
    <w:rPr>
      <w:rFonts w:ascii="Tahoma" w:hAnsi="Tahoma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13853"/>
    <w:pPr>
      <w:tabs>
        <w:tab w:val="center" w:pos="4819"/>
        <w:tab w:val="right" w:pos="9638"/>
      </w:tabs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13853"/>
    <w:rPr>
      <w:rFonts w:ascii="Cambria" w:eastAsia="Times New Roman" w:hAnsi="Cambria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rsid w:val="002E7BC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70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703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159F3"/>
    <w:rPr>
      <w:color w:val="0000FF"/>
      <w:u w:val="single"/>
    </w:rPr>
  </w:style>
  <w:style w:type="paragraph" w:customStyle="1" w:styleId="Default">
    <w:name w:val="Default"/>
    <w:rsid w:val="00942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05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0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posts/anna-guardavilla-52179717a_colpo-di-calore-in-cantiere-e-responsabilit%C3%A0-activity-7294962313936183296-Bfi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 FOGNINI</dc:creator>
  <cp:keywords/>
  <dc:description/>
  <cp:lastModifiedBy>SEICPT7</cp:lastModifiedBy>
  <cp:revision>6</cp:revision>
  <cp:lastPrinted>2025-04-09T12:04:00Z</cp:lastPrinted>
  <dcterms:created xsi:type="dcterms:W3CDTF">2024-11-04T08:22:00Z</dcterms:created>
  <dcterms:modified xsi:type="dcterms:W3CDTF">2025-04-09T12:05:00Z</dcterms:modified>
</cp:coreProperties>
</file>