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7BE4" w14:textId="77777777" w:rsidR="00A13853" w:rsidRPr="00942386" w:rsidRDefault="00743961" w:rsidP="002E7BC4">
      <w:pPr>
        <w:pStyle w:val="Intestazione"/>
        <w:jc w:val="center"/>
        <w:rPr>
          <w:rFonts w:ascii="Tahoma" w:hAnsi="Tahoma" w:cs="Tahoma"/>
          <w:sz w:val="20"/>
          <w:szCs w:val="20"/>
        </w:rPr>
      </w:pPr>
      <w:r w:rsidRPr="0094238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942386" w:rsidRDefault="00A13853" w:rsidP="002E7BC4">
      <w:pPr>
        <w:tabs>
          <w:tab w:val="center" w:pos="4819"/>
          <w:tab w:val="right" w:pos="9638"/>
        </w:tabs>
        <w:ind w:right="283"/>
        <w:jc w:val="both"/>
        <w:rPr>
          <w:rFonts w:eastAsia="Times New Roman" w:cs="Tahoma"/>
          <w:szCs w:val="20"/>
          <w:lang w:eastAsia="it-IT"/>
        </w:rPr>
      </w:pPr>
    </w:p>
    <w:p w14:paraId="0A2FB5F4" w14:textId="286DD7D0" w:rsidR="00940CF4" w:rsidRPr="00942386" w:rsidRDefault="00676B0E" w:rsidP="00973EA9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b/>
          <w:szCs w:val="20"/>
          <w:lang w:eastAsia="it-IT"/>
        </w:rPr>
      </w:pPr>
      <w:r w:rsidRPr="00942386">
        <w:rPr>
          <w:rFonts w:eastAsia="Times New Roman" w:cs="Tahoma"/>
          <w:b/>
          <w:szCs w:val="20"/>
          <w:lang w:eastAsia="it-IT"/>
        </w:rPr>
        <w:t xml:space="preserve">VERBALE INCONTRO T.T. </w:t>
      </w:r>
      <w:r w:rsidR="00307F3D" w:rsidRPr="00942386">
        <w:rPr>
          <w:rFonts w:eastAsia="Times New Roman" w:cs="Tahoma"/>
          <w:b/>
          <w:szCs w:val="20"/>
          <w:lang w:eastAsia="it-IT"/>
        </w:rPr>
        <w:t>01.12</w:t>
      </w:r>
      <w:r w:rsidR="00584BE5" w:rsidRPr="00942386">
        <w:rPr>
          <w:rFonts w:eastAsia="Times New Roman" w:cs="Tahoma"/>
          <w:b/>
          <w:szCs w:val="20"/>
          <w:lang w:eastAsia="it-IT"/>
        </w:rPr>
        <w:t>.2023</w:t>
      </w:r>
    </w:p>
    <w:p w14:paraId="6363F6B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0CFD3A67" w14:textId="45B3E234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In data </w:t>
      </w:r>
      <w:r w:rsidR="00BB1DD9" w:rsidRPr="00942386">
        <w:rPr>
          <w:rFonts w:eastAsia="Times New Roman" w:cs="Tahoma"/>
          <w:szCs w:val="20"/>
          <w:lang w:eastAsia="it-IT"/>
        </w:rPr>
        <w:t xml:space="preserve">01 </w:t>
      </w:r>
      <w:proofErr w:type="gramStart"/>
      <w:r w:rsidR="00BB1DD9" w:rsidRPr="00942386">
        <w:rPr>
          <w:rFonts w:eastAsia="Times New Roman" w:cs="Tahoma"/>
          <w:szCs w:val="20"/>
          <w:lang w:eastAsia="it-IT"/>
        </w:rPr>
        <w:t>Dicembre</w:t>
      </w:r>
      <w:proofErr w:type="gramEnd"/>
      <w:r w:rsidR="00584BE5" w:rsidRPr="00942386">
        <w:rPr>
          <w:rFonts w:eastAsia="Times New Roman" w:cs="Tahoma"/>
          <w:szCs w:val="20"/>
          <w:lang w:eastAsia="it-IT"/>
        </w:rPr>
        <w:t xml:space="preserve"> 2023</w:t>
      </w:r>
      <w:r w:rsidRPr="00942386">
        <w:rPr>
          <w:rFonts w:eastAsia="Times New Roman" w:cs="Tahoma"/>
          <w:szCs w:val="20"/>
          <w:lang w:eastAsia="it-IT"/>
        </w:rPr>
        <w:t xml:space="preserve">, presso l’aula magna del S.E.I. – C.P.T. ad Imperia, Via Pr. Gazzano 24, si è tenuto </w:t>
      </w:r>
      <w:r w:rsidR="00E2040A" w:rsidRPr="00942386">
        <w:rPr>
          <w:rFonts w:eastAsia="Times New Roman" w:cs="Tahoma"/>
          <w:szCs w:val="20"/>
          <w:lang w:eastAsia="it-IT"/>
        </w:rPr>
        <w:t>l’</w:t>
      </w:r>
      <w:r w:rsidRPr="00942386">
        <w:rPr>
          <w:rFonts w:eastAsia="Times New Roman" w:cs="Tahoma"/>
          <w:szCs w:val="20"/>
          <w:lang w:eastAsia="it-IT"/>
        </w:rPr>
        <w:t xml:space="preserve">incontro del “Tavolo Tecnico”. Erano presenti: </w:t>
      </w:r>
    </w:p>
    <w:p w14:paraId="69B64C6B" w14:textId="1C3C3FC0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l’ASL 1: Dott. Salvatore Mazzarella</w:t>
      </w:r>
      <w:r w:rsidR="00584BE5" w:rsidRPr="00942386">
        <w:rPr>
          <w:rFonts w:eastAsia="Times New Roman" w:cs="Tahoma"/>
          <w:szCs w:val="20"/>
          <w:lang w:eastAsia="it-IT"/>
        </w:rPr>
        <w:t>, (Ing. Dellacà Pierpaolo</w:t>
      </w:r>
      <w:r w:rsidR="00BB1DD9" w:rsidRPr="00942386">
        <w:rPr>
          <w:rFonts w:eastAsia="Times New Roman" w:cs="Tahoma"/>
          <w:szCs w:val="20"/>
          <w:lang w:eastAsia="it-IT"/>
        </w:rPr>
        <w:t xml:space="preserve">, Collaboratore tecnico </w:t>
      </w:r>
      <w:proofErr w:type="gramStart"/>
      <w:r w:rsidR="00BB1DD9" w:rsidRPr="00942386">
        <w:rPr>
          <w:rFonts w:eastAsia="Times New Roman" w:cs="Tahoma"/>
          <w:szCs w:val="20"/>
          <w:lang w:eastAsia="it-IT"/>
        </w:rPr>
        <w:t>professionale</w:t>
      </w:r>
      <w:r w:rsidR="00584BE5" w:rsidRPr="00942386">
        <w:rPr>
          <w:rFonts w:eastAsia="Times New Roman" w:cs="Tahoma"/>
          <w:szCs w:val="20"/>
          <w:lang w:eastAsia="it-IT"/>
        </w:rPr>
        <w:t xml:space="preserve"> )</w:t>
      </w:r>
      <w:proofErr w:type="gramEnd"/>
    </w:p>
    <w:p w14:paraId="119E9E42" w14:textId="4254D0EB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l’INL: </w:t>
      </w:r>
      <w:proofErr w:type="spellStart"/>
      <w:r w:rsidR="007A11C3" w:rsidRPr="00942386">
        <w:rPr>
          <w:rFonts w:eastAsia="Times New Roman" w:cs="Tahoma"/>
          <w:szCs w:val="20"/>
          <w:lang w:eastAsia="it-IT"/>
        </w:rPr>
        <w:t>L’isp</w:t>
      </w:r>
      <w:proofErr w:type="spellEnd"/>
      <w:r w:rsidR="007A11C3" w:rsidRPr="00942386">
        <w:rPr>
          <w:rFonts w:eastAsia="Times New Roman" w:cs="Tahoma"/>
          <w:szCs w:val="20"/>
          <w:lang w:eastAsia="it-IT"/>
        </w:rPr>
        <w:t xml:space="preserve">. </w:t>
      </w:r>
      <w:r w:rsidR="00584BE5" w:rsidRPr="00942386">
        <w:rPr>
          <w:rFonts w:eastAsia="Times New Roman" w:cs="Tahoma"/>
          <w:szCs w:val="20"/>
          <w:lang w:eastAsia="it-IT"/>
        </w:rPr>
        <w:t>Bernardini</w:t>
      </w:r>
      <w:r w:rsidR="007A11C3" w:rsidRPr="00942386">
        <w:rPr>
          <w:rFonts w:eastAsia="Times New Roman" w:cs="Tahoma"/>
          <w:szCs w:val="20"/>
          <w:lang w:eastAsia="it-IT"/>
        </w:rPr>
        <w:t xml:space="preserve"> Ing. Francesco Paolo </w:t>
      </w:r>
      <w:proofErr w:type="gramStart"/>
      <w:r w:rsidR="007A11C3" w:rsidRPr="00942386">
        <w:rPr>
          <w:rFonts w:eastAsia="Times New Roman" w:cs="Tahoma"/>
          <w:szCs w:val="20"/>
          <w:lang w:eastAsia="it-IT"/>
        </w:rPr>
        <w:t xml:space="preserve">e 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  <w:r w:rsidR="007A11C3" w:rsidRPr="00942386">
        <w:rPr>
          <w:rFonts w:eastAsia="Times New Roman" w:cs="Tahoma"/>
          <w:szCs w:val="20"/>
          <w:lang w:eastAsia="it-IT"/>
        </w:rPr>
        <w:t>Isp</w:t>
      </w:r>
      <w:proofErr w:type="gramEnd"/>
      <w:r w:rsidR="007A11C3" w:rsidRPr="00942386">
        <w:rPr>
          <w:rFonts w:eastAsia="Times New Roman" w:cs="Tahoma"/>
          <w:szCs w:val="20"/>
          <w:lang w:eastAsia="it-IT"/>
        </w:rPr>
        <w:t>. De Luca Dr Gianluigi Maria</w:t>
      </w:r>
    </w:p>
    <w:p w14:paraId="20688BBE" w14:textId="73842028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l’Area Sicurezza: Ing. Paola Fognini, Geom. Gianni Anfossi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</w:p>
    <w:p w14:paraId="21E75D5C" w14:textId="2ED2A4F4" w:rsidR="00584BE5" w:rsidRPr="00942386" w:rsidRDefault="00584BE5" w:rsidP="00584BE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proofErr w:type="gramStart"/>
      <w:r w:rsidRPr="00942386">
        <w:rPr>
          <w:rFonts w:eastAsia="Times New Roman" w:cs="Tahoma"/>
          <w:szCs w:val="20"/>
          <w:lang w:eastAsia="it-IT"/>
        </w:rPr>
        <w:t>l’INAIL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Dott.ssa Giovanna Cannonero </w:t>
      </w:r>
    </w:p>
    <w:p w14:paraId="65C5CA84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FF729A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Membri aggiunti:</w:t>
      </w:r>
    </w:p>
    <w:p w14:paraId="7804F31B" w14:textId="7D7BDC96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degli Architetti: </w:t>
      </w:r>
      <w:r w:rsidR="00584BE5" w:rsidRPr="00942386">
        <w:rPr>
          <w:rFonts w:eastAsia="Times New Roman" w:cs="Tahoma"/>
          <w:szCs w:val="20"/>
          <w:lang w:eastAsia="it-IT"/>
        </w:rPr>
        <w:t>Arch. Fausto De Luca</w:t>
      </w:r>
    </w:p>
    <w:p w14:paraId="70EF491E" w14:textId="6782EDE3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il Collegio dei Geometri </w:t>
      </w:r>
      <w:r w:rsidR="00E2040A" w:rsidRPr="00942386">
        <w:rPr>
          <w:rFonts w:eastAsia="Times New Roman" w:cs="Tahoma"/>
          <w:szCs w:val="20"/>
          <w:lang w:eastAsia="it-IT"/>
        </w:rPr>
        <w:t>e Geometri Laureati</w:t>
      </w:r>
      <w:r w:rsidRPr="00942386">
        <w:rPr>
          <w:rFonts w:eastAsia="Times New Roman" w:cs="Tahoma"/>
          <w:szCs w:val="20"/>
          <w:lang w:eastAsia="it-IT"/>
        </w:rPr>
        <w:t>: Geom. Davide Sgrò</w:t>
      </w:r>
    </w:p>
    <w:p w14:paraId="26D4FCE9" w14:textId="5FC5FD7E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dei Periti industriali: </w:t>
      </w:r>
      <w:r w:rsidR="00584BE5" w:rsidRPr="00942386">
        <w:rPr>
          <w:rFonts w:eastAsia="Times New Roman" w:cs="Tahoma"/>
          <w:szCs w:val="20"/>
          <w:lang w:eastAsia="it-IT"/>
        </w:rPr>
        <w:t>P.I. Luca Gallo</w:t>
      </w:r>
    </w:p>
    <w:p w14:paraId="6E924C1C" w14:textId="7D7EC8FA" w:rsidR="00584BE5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L’Ordine dei</w:t>
      </w:r>
      <w:r w:rsidR="00584BE5" w:rsidRPr="00942386">
        <w:rPr>
          <w:rFonts w:eastAsia="Times New Roman" w:cs="Tahoma"/>
          <w:szCs w:val="20"/>
          <w:lang w:eastAsia="it-IT"/>
        </w:rPr>
        <w:t xml:space="preserve"> TSRM: Dott. Francesco </w:t>
      </w:r>
      <w:proofErr w:type="spellStart"/>
      <w:r w:rsidR="00584BE5" w:rsidRPr="00942386">
        <w:rPr>
          <w:rFonts w:eastAsia="Times New Roman" w:cs="Tahoma"/>
          <w:szCs w:val="20"/>
          <w:lang w:eastAsia="it-IT"/>
        </w:rPr>
        <w:t>Rotomondo</w:t>
      </w:r>
      <w:proofErr w:type="spellEnd"/>
    </w:p>
    <w:p w14:paraId="4E1D21A8" w14:textId="6F54C4DC" w:rsidR="00E2040A" w:rsidRPr="00942386" w:rsidRDefault="00584BE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r w:rsidR="007A11C3" w:rsidRPr="00942386">
        <w:rPr>
          <w:rFonts w:eastAsia="Times New Roman" w:cs="Tahoma"/>
          <w:szCs w:val="20"/>
          <w:lang w:eastAsia="it-IT"/>
        </w:rPr>
        <w:t>L</w:t>
      </w:r>
      <w:r w:rsidRPr="00942386">
        <w:rPr>
          <w:rFonts w:eastAsia="Times New Roman" w:cs="Tahoma"/>
          <w:szCs w:val="20"/>
          <w:lang w:eastAsia="it-IT"/>
        </w:rPr>
        <w:t xml:space="preserve">’ Ordine degli </w:t>
      </w:r>
      <w:proofErr w:type="gramStart"/>
      <w:r w:rsidRPr="00942386">
        <w:rPr>
          <w:rFonts w:eastAsia="Times New Roman" w:cs="Tahoma"/>
          <w:szCs w:val="20"/>
          <w:lang w:eastAsia="it-IT"/>
        </w:rPr>
        <w:t>Ingegneri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Ing. Fabio Sappia</w:t>
      </w:r>
    </w:p>
    <w:p w14:paraId="4EA0F688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01EAAB5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RLST </w:t>
      </w:r>
      <w:proofErr w:type="gramStart"/>
      <w:r w:rsidRPr="00942386">
        <w:rPr>
          <w:rFonts w:eastAsia="Times New Roman" w:cs="Tahoma"/>
          <w:szCs w:val="20"/>
          <w:lang w:eastAsia="it-IT"/>
        </w:rPr>
        <w:t>UIL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Pr="00942386">
        <w:rPr>
          <w:rFonts w:eastAsia="Times New Roman" w:cs="Tahoma"/>
          <w:szCs w:val="20"/>
          <w:lang w:eastAsia="it-IT"/>
        </w:rPr>
        <w:t>Aliosha</w:t>
      </w:r>
      <w:proofErr w:type="spellEnd"/>
      <w:r w:rsidRPr="00942386">
        <w:rPr>
          <w:rFonts w:eastAsia="Times New Roman" w:cs="Tahoma"/>
          <w:szCs w:val="20"/>
          <w:lang w:eastAsia="it-IT"/>
        </w:rPr>
        <w:t xml:space="preserve"> Castagna</w:t>
      </w:r>
    </w:p>
    <w:p w14:paraId="0415C2DE" w14:textId="620EF962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RLST </w:t>
      </w:r>
      <w:proofErr w:type="gramStart"/>
      <w:r w:rsidRPr="00942386">
        <w:rPr>
          <w:rFonts w:eastAsia="Times New Roman" w:cs="Tahoma"/>
          <w:szCs w:val="20"/>
          <w:lang w:eastAsia="it-IT"/>
        </w:rPr>
        <w:t>CGIL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Pr="00942386">
        <w:rPr>
          <w:rFonts w:eastAsia="Times New Roman" w:cs="Tahoma"/>
          <w:szCs w:val="20"/>
          <w:lang w:eastAsia="it-IT"/>
        </w:rPr>
        <w:t>Boufka</w:t>
      </w:r>
      <w:proofErr w:type="spellEnd"/>
      <w:r w:rsidRPr="00942386">
        <w:rPr>
          <w:rFonts w:eastAsia="Times New Roman" w:cs="Tahoma"/>
          <w:szCs w:val="20"/>
          <w:lang w:eastAsia="it-IT"/>
        </w:rPr>
        <w:t xml:space="preserve"> </w:t>
      </w:r>
      <w:proofErr w:type="spellStart"/>
      <w:r w:rsidRPr="00942386">
        <w:rPr>
          <w:rFonts w:eastAsia="Times New Roman" w:cs="Tahoma"/>
          <w:szCs w:val="20"/>
          <w:lang w:eastAsia="it-IT"/>
        </w:rPr>
        <w:t>Garjmi</w:t>
      </w:r>
      <w:proofErr w:type="spellEnd"/>
    </w:p>
    <w:p w14:paraId="51E17113" w14:textId="73820F26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E65453F" w14:textId="77777777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proofErr w:type="gramStart"/>
      <w:r w:rsidRPr="00942386">
        <w:rPr>
          <w:rFonts w:eastAsia="Times New Roman" w:cs="Tahoma"/>
          <w:szCs w:val="20"/>
          <w:lang w:eastAsia="it-IT"/>
        </w:rPr>
        <w:t>Ospiti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</w:p>
    <w:p w14:paraId="5F8C09E2" w14:textId="3BCF6512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Geom. Fresu Roberto – Collaboratore Area Sicurezza SEI-CPT</w:t>
      </w:r>
    </w:p>
    <w:p w14:paraId="539EB837" w14:textId="37EF44D6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NIL – Alessio Soluri / Davide Caggegi</w:t>
      </w:r>
    </w:p>
    <w:p w14:paraId="50BBC91B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B059D81" w14:textId="618F39CD" w:rsidR="00AB5361" w:rsidRPr="00942386" w:rsidRDefault="007A11C3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</w:t>
      </w:r>
      <w:r w:rsidR="00AB5361" w:rsidRPr="00942386">
        <w:rPr>
          <w:rFonts w:eastAsia="Times New Roman" w:cs="Tahoma"/>
          <w:szCs w:val="20"/>
          <w:lang w:eastAsia="it-IT"/>
        </w:rPr>
        <w:t xml:space="preserve"> riferimento </w:t>
      </w:r>
      <w:r w:rsidR="00BB1DD9" w:rsidRPr="00942386">
        <w:rPr>
          <w:rFonts w:eastAsia="Times New Roman" w:cs="Tahoma"/>
          <w:szCs w:val="20"/>
          <w:lang w:eastAsia="it-IT"/>
        </w:rPr>
        <w:t>all’ordine del giorno riportato in convocazione</w:t>
      </w:r>
      <w:r w:rsidR="00AB5361" w:rsidRPr="00942386">
        <w:rPr>
          <w:rFonts w:eastAsia="Times New Roman" w:cs="Tahoma"/>
          <w:szCs w:val="20"/>
          <w:lang w:eastAsia="it-IT"/>
        </w:rPr>
        <w:t xml:space="preserve">, si riportano le risposte che sono state condivise dai presenti all’incontro, rammentando che, come già ricordato nel Protocollo di istituzione del TT le interpretazioni elaborate esprimono 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“esclusivamente la sintesi del pensiero dei rappresentanti degli Enti Promotori. Tali elaborati, quindi, non costituendo risposte ad Interpello ex art. 12 del </w:t>
      </w:r>
      <w:proofErr w:type="spellStart"/>
      <w:proofErr w:type="gramStart"/>
      <w:r w:rsidR="00AB5361" w:rsidRPr="00942386">
        <w:rPr>
          <w:rFonts w:eastAsia="Times New Roman" w:cs="Tahoma"/>
          <w:i/>
          <w:iCs/>
          <w:szCs w:val="20"/>
          <w:lang w:eastAsia="it-IT"/>
        </w:rPr>
        <w:t>D.Lgs</w:t>
      </w:r>
      <w:proofErr w:type="gramEnd"/>
      <w:r w:rsidR="00AB5361"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 81/08 e </w:t>
      </w:r>
      <w:proofErr w:type="spellStart"/>
      <w:r w:rsidR="00AB5361" w:rsidRPr="00942386">
        <w:rPr>
          <w:rFonts w:eastAsia="Times New Roman" w:cs="Tahoma"/>
          <w:i/>
          <w:iCs/>
          <w:szCs w:val="20"/>
          <w:lang w:eastAsia="it-IT"/>
        </w:rPr>
        <w:t>s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m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i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>, non avranno carattere impegnativo per le rispettive Amministrazioni di appartenenza”</w:t>
      </w:r>
      <w:r w:rsidR="00AB5361" w:rsidRPr="00942386">
        <w:rPr>
          <w:rFonts w:eastAsia="Times New Roman" w:cs="Tahoma"/>
          <w:szCs w:val="20"/>
          <w:lang w:eastAsia="it-IT"/>
        </w:rPr>
        <w:t>. Inoltre, esse saranno da considerare “superate” nel caso vengano emanate norme, interpelli o circolari interpretative ufficiali.</w:t>
      </w:r>
    </w:p>
    <w:p w14:paraId="585CB361" w14:textId="775A7F5B" w:rsidR="00AB5361" w:rsidRPr="00942386" w:rsidRDefault="00AB5361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EBE6C4A" w14:textId="1EB48C43" w:rsidR="000854B9" w:rsidRPr="00942386" w:rsidRDefault="00BB1DD9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n.1)</w:t>
      </w:r>
      <w:r w:rsidR="007A11C3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: </w:t>
      </w:r>
      <w:r w:rsidR="00942386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I Lavoratori Autonomi e le Imprese Familiari in edilizia</w:t>
      </w:r>
    </w:p>
    <w:p w14:paraId="2D629378" w14:textId="50F90486" w:rsidR="005C1C8E" w:rsidRPr="00942386" w:rsidRDefault="005C1C8E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A seguito </w:t>
      </w:r>
      <w:r w:rsidR="00D159F3" w:rsidRPr="00942386">
        <w:rPr>
          <w:rFonts w:eastAsia="Times New Roman" w:cs="Tahoma"/>
          <w:szCs w:val="20"/>
          <w:lang w:eastAsia="it-IT"/>
        </w:rPr>
        <w:t>constatazione di situazioni irregolari rilevate nei cantieri, che riguardano rapporti tra lavoratori autonomi, si ritiene opportuno ribadire quanto segue:</w:t>
      </w:r>
    </w:p>
    <w:p w14:paraId="18316759" w14:textId="6E5CA4B4" w:rsidR="00D159F3" w:rsidRPr="00942386" w:rsidRDefault="00D159F3" w:rsidP="00E03F9E">
      <w:pPr>
        <w:tabs>
          <w:tab w:val="center" w:pos="4819"/>
          <w:tab w:val="right" w:pos="9638"/>
        </w:tabs>
        <w:ind w:right="-1"/>
        <w:jc w:val="both"/>
        <w:rPr>
          <w:rFonts w:cs="Tahoma"/>
          <w:iCs/>
          <w:color w:val="000000"/>
          <w:szCs w:val="20"/>
          <w:shd w:val="clear" w:color="auto" w:fill="FFFFFF"/>
        </w:rPr>
      </w:pPr>
      <w:r w:rsidRPr="00942386">
        <w:rPr>
          <w:rFonts w:eastAsia="Times New Roman" w:cs="Tahoma"/>
          <w:szCs w:val="20"/>
          <w:lang w:eastAsia="it-IT"/>
        </w:rPr>
        <w:t>premesso che, per</w:t>
      </w:r>
      <w:r w:rsidRPr="00942386">
        <w:rPr>
          <w:rFonts w:cs="Tahoma"/>
          <w:color w:val="000000"/>
          <w:szCs w:val="20"/>
          <w:shd w:val="clear" w:color="auto" w:fill="FFFFFF"/>
        </w:rPr>
        <w:t xml:space="preserve"> quanto riguarda la disciplina civilistica, l’art. </w:t>
      </w:r>
      <w:hyperlink r:id="rId6" w:tooltip="Contratto d'opera" w:history="1">
        <w:r w:rsidRPr="00942386">
          <w:rPr>
            <w:rStyle w:val="Collegamentoipertestuale"/>
            <w:rFonts w:cs="Tahoma"/>
            <w:color w:val="183025"/>
            <w:szCs w:val="20"/>
            <w:shd w:val="clear" w:color="auto" w:fill="FFFFFF"/>
          </w:rPr>
          <w:t>2222</w:t>
        </w:r>
      </w:hyperlink>
      <w:r w:rsidRPr="00942386">
        <w:rPr>
          <w:rFonts w:cs="Tahoma"/>
          <w:color w:val="000000"/>
          <w:szCs w:val="20"/>
          <w:shd w:val="clear" w:color="auto" w:fill="FFFFFF"/>
        </w:rPr>
        <w:t xml:space="preserve"> c.c. definisce </w:t>
      </w:r>
      <w:r w:rsidR="007A11C3" w:rsidRPr="00942386">
        <w:rPr>
          <w:rFonts w:cs="Tahoma"/>
          <w:color w:val="000000"/>
          <w:szCs w:val="20"/>
          <w:shd w:val="clear" w:color="auto" w:fill="FFFFFF"/>
        </w:rPr>
        <w:t>“</w:t>
      </w:r>
      <w:r w:rsidRPr="00942386">
        <w:rPr>
          <w:rFonts w:cs="Tahoma"/>
          <w:i/>
          <w:iCs/>
          <w:color w:val="000000"/>
          <w:szCs w:val="20"/>
          <w:shd w:val="clear" w:color="auto" w:fill="FFFFFF"/>
        </w:rPr>
        <w:t>lavoratore autonomo occasionale</w:t>
      </w:r>
      <w:r w:rsidR="007A11C3" w:rsidRPr="00942386">
        <w:rPr>
          <w:rFonts w:cs="Tahoma"/>
          <w:i/>
          <w:iCs/>
          <w:color w:val="000000"/>
          <w:szCs w:val="20"/>
          <w:shd w:val="clear" w:color="auto" w:fill="FFFFFF"/>
        </w:rPr>
        <w:t>”</w:t>
      </w:r>
      <w:r w:rsidRPr="00942386">
        <w:rPr>
          <w:rFonts w:cs="Tahoma"/>
          <w:color w:val="000000"/>
          <w:szCs w:val="20"/>
          <w:shd w:val="clear" w:color="auto" w:fill="FFFFFF"/>
        </w:rPr>
        <w:t xml:space="preserve"> </w:t>
      </w:r>
      <w:r w:rsidRPr="00942386">
        <w:rPr>
          <w:rFonts w:cs="Tahoma"/>
          <w:i/>
          <w:iCs/>
          <w:color w:val="000000"/>
          <w:szCs w:val="20"/>
          <w:shd w:val="clear" w:color="auto" w:fill="FFFFFF"/>
        </w:rPr>
        <w:t>chi si obbliga a compiere, dietro corrispettivo, un’opera o un servizio con lavoro prevalentemente proprio, senza vincolo alcuno di subordinazione</w:t>
      </w:r>
      <w:r w:rsidRPr="00942386">
        <w:rPr>
          <w:rFonts w:cs="Tahoma"/>
          <w:color w:val="000000"/>
          <w:szCs w:val="20"/>
          <w:shd w:val="clear" w:color="auto" w:fill="FFFFFF"/>
        </w:rPr>
        <w:t xml:space="preserve"> e che la Circolare 16/2012 del Ministero del Lavoro fornisce indicazioni operative per il personale ispettivo, riguardo ad attività di cantiere svolte da </w:t>
      </w:r>
      <w:r w:rsidRPr="00942386">
        <w:rPr>
          <w:rFonts w:cs="Tahoma"/>
          <w:i/>
          <w:iCs/>
          <w:color w:val="000000"/>
          <w:szCs w:val="20"/>
          <w:shd w:val="clear" w:color="auto" w:fill="FFFFFF"/>
        </w:rPr>
        <w:t>“presunti “</w:t>
      </w:r>
      <w:r w:rsidRPr="00942386">
        <w:rPr>
          <w:rFonts w:cs="Tahoma"/>
          <w:color w:val="000000"/>
          <w:szCs w:val="20"/>
          <w:shd w:val="clear" w:color="auto" w:fill="FFFFFF"/>
        </w:rPr>
        <w:t xml:space="preserve"> lavoratori autonomi</w:t>
      </w:r>
      <w:r w:rsidR="007E5E1D" w:rsidRPr="00942386">
        <w:rPr>
          <w:rFonts w:cs="Tahoma"/>
          <w:color w:val="000000"/>
          <w:szCs w:val="20"/>
          <w:shd w:val="clear" w:color="auto" w:fill="FFFFFF"/>
        </w:rPr>
        <w:t xml:space="preserve">, risulta chiaro che, </w:t>
      </w:r>
      <w:r w:rsidR="007E5E1D" w:rsidRPr="00942386">
        <w:rPr>
          <w:rFonts w:cs="Tahoma"/>
          <w:iCs/>
          <w:color w:val="000000"/>
          <w:szCs w:val="20"/>
          <w:shd w:val="clear" w:color="auto" w:fill="FFFFFF"/>
        </w:rPr>
        <w:t>nelle attività di realizzazione delle opere in elevazione legate al ciclo del cemento armato o nel montaggio di strutture metalliche o prefabbricati, le modalità di esecuzione - richiedendo la simultanea presenza di maestranze convergenti alla costruzione di un unico prodotto, in forza di indicazioni tecniche e direttive necessariamente univoche ed unitarie – non si conciliano affatto con pretese forme di autonomia realizzativa dell’opera  che è invece il presupposto fondamentale per una corretta identificazione della prestazione secondo la tipologia del lavoro autonomo , così come definito dall’art. 2222 cod. civ.</w:t>
      </w:r>
    </w:p>
    <w:p w14:paraId="6A6F1499" w14:textId="73277FA7" w:rsidR="007E5E1D" w:rsidRPr="00942386" w:rsidRDefault="007E5E1D" w:rsidP="00E03F9E">
      <w:pPr>
        <w:tabs>
          <w:tab w:val="center" w:pos="4819"/>
          <w:tab w:val="right" w:pos="9638"/>
        </w:tabs>
        <w:ind w:right="-1"/>
        <w:jc w:val="both"/>
        <w:rPr>
          <w:rFonts w:cs="Tahoma"/>
          <w:iCs/>
          <w:szCs w:val="20"/>
          <w:shd w:val="clear" w:color="auto" w:fill="FFFFFF"/>
        </w:rPr>
      </w:pPr>
      <w:r w:rsidRPr="00942386">
        <w:rPr>
          <w:rFonts w:cs="Tahoma"/>
          <w:iCs/>
          <w:szCs w:val="20"/>
          <w:shd w:val="clear" w:color="auto" w:fill="FFFFFF"/>
        </w:rPr>
        <w:t>Pertanto, i lavoratori autonomi che intendono procedere alla realizzazione della stessa opera, dovranno costituire una forma imprenditoriale con individuazione del datore di lavoro e dei dipendenti o costituirsi in forme societarie adeguate.</w:t>
      </w:r>
    </w:p>
    <w:p w14:paraId="3E04631A" w14:textId="3072A2C9" w:rsidR="007E5E1D" w:rsidRPr="00942386" w:rsidRDefault="007A11C3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Cs/>
          <w:szCs w:val="20"/>
          <w:lang w:eastAsia="it-IT"/>
        </w:rPr>
      </w:pPr>
      <w:r w:rsidRPr="00942386">
        <w:rPr>
          <w:rFonts w:cs="Tahoma"/>
          <w:iCs/>
          <w:szCs w:val="20"/>
          <w:shd w:val="clear" w:color="auto" w:fill="FFFFFF"/>
        </w:rPr>
        <w:t>Si ribadisce che n</w:t>
      </w:r>
      <w:r w:rsidR="00307F3D" w:rsidRPr="00942386">
        <w:rPr>
          <w:rFonts w:cs="Tahoma"/>
          <w:iCs/>
          <w:szCs w:val="20"/>
          <w:shd w:val="clear" w:color="auto" w:fill="FFFFFF"/>
        </w:rPr>
        <w:t xml:space="preserve">on esistono le </w:t>
      </w:r>
      <w:r w:rsidRPr="00942386">
        <w:rPr>
          <w:rFonts w:cs="Tahoma"/>
          <w:iCs/>
          <w:szCs w:val="20"/>
          <w:shd w:val="clear" w:color="auto" w:fill="FFFFFF"/>
        </w:rPr>
        <w:t>Associazioni Temporanee di Artigiani (ATA).</w:t>
      </w:r>
    </w:p>
    <w:p w14:paraId="2187CB5B" w14:textId="7191341A" w:rsidR="000854B9" w:rsidRPr="00942386" w:rsidRDefault="000854B9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color w:val="000000" w:themeColor="text1"/>
          <w:szCs w:val="20"/>
          <w:lang w:eastAsia="it-IT"/>
        </w:rPr>
      </w:pPr>
    </w:p>
    <w:p w14:paraId="2232558E" w14:textId="1EBE8841" w:rsidR="00942386" w:rsidRPr="00942386" w:rsidRDefault="00A155B4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n.2)</w:t>
      </w:r>
      <w:r w:rsidR="007A11C3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</w:t>
      </w:r>
      <w:r w:rsidR="00942386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Importanza del computo Costi della Sicurezza nei PSC </w:t>
      </w:r>
    </w:p>
    <w:p w14:paraId="17CF6C63" w14:textId="0008DB3E" w:rsidR="000854B9" w:rsidRPr="00942386" w:rsidRDefault="000854B9" w:rsidP="000854B9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u w:val="single"/>
          <w:lang w:eastAsia="it-IT"/>
        </w:rPr>
      </w:pPr>
    </w:p>
    <w:p w14:paraId="6A88C5AD" w14:textId="21651A96" w:rsidR="000854B9" w:rsidRDefault="00942386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color w:val="000000" w:themeColor="text1"/>
          <w:szCs w:val="20"/>
          <w:lang w:eastAsia="it-IT"/>
        </w:rPr>
      </w:pPr>
      <w:r>
        <w:rPr>
          <w:rFonts w:eastAsia="Times New Roman" w:cs="Tahoma"/>
          <w:color w:val="000000" w:themeColor="text1"/>
          <w:szCs w:val="20"/>
          <w:lang w:eastAsia="it-IT"/>
        </w:rPr>
        <w:t>Si ribadisce l’importanza della valutazione dei costi della sicurezza in quanto non soggetti a ribasso. Per la corretta valutazione degli stessi si ricorda che il “</w:t>
      </w:r>
      <w:r w:rsidRPr="00942386">
        <w:rPr>
          <w:rFonts w:eastAsia="Times New Roman" w:cs="Tahoma"/>
          <w:i/>
          <w:iCs/>
          <w:color w:val="000000" w:themeColor="text1"/>
          <w:szCs w:val="20"/>
          <w:lang w:eastAsia="it-IT"/>
        </w:rPr>
        <w:t>Prezziario delle opere edili della Regione Liguria</w:t>
      </w:r>
      <w:r>
        <w:rPr>
          <w:rFonts w:eastAsia="Times New Roman" w:cs="Tahoma"/>
          <w:i/>
          <w:iCs/>
          <w:color w:val="000000" w:themeColor="text1"/>
          <w:szCs w:val="20"/>
          <w:lang w:eastAsia="it-IT"/>
        </w:rPr>
        <w:t>”</w:t>
      </w:r>
      <w:r>
        <w:rPr>
          <w:rFonts w:eastAsia="Times New Roman" w:cs="Tahoma"/>
          <w:color w:val="000000" w:themeColor="text1"/>
          <w:szCs w:val="20"/>
          <w:lang w:eastAsia="it-IT"/>
        </w:rPr>
        <w:t xml:space="preserve"> contiene la </w:t>
      </w:r>
      <w:r>
        <w:rPr>
          <w:rFonts w:eastAsia="Times New Roman" w:cs="Tahoma"/>
          <w:color w:val="000000" w:themeColor="text1"/>
          <w:szCs w:val="20"/>
          <w:lang w:eastAsia="it-IT"/>
        </w:rPr>
        <w:lastRenderedPageBreak/>
        <w:t>quantificazione degli oneri per ogni singola voce, si ricorda che una corretta valutazione prevede la stesura di un computo metrico ad hoc tenendo conto delle voci del predetto prezziario.</w:t>
      </w:r>
    </w:p>
    <w:p w14:paraId="3EB9BD1E" w14:textId="77777777" w:rsidR="00942386" w:rsidRPr="00942386" w:rsidRDefault="00942386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color w:val="000000" w:themeColor="text1"/>
          <w:szCs w:val="20"/>
          <w:lang w:eastAsia="it-IT"/>
        </w:rPr>
      </w:pPr>
    </w:p>
    <w:p w14:paraId="55B7CF8B" w14:textId="1124FA79" w:rsidR="00942386" w:rsidRPr="00942386" w:rsidRDefault="00A155B4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proofErr w:type="gramStart"/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n.3</w:t>
      </w:r>
      <w:proofErr w:type="gramEnd"/>
      <w:r w:rsidR="000854B9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)</w:t>
      </w:r>
      <w:r w:rsidR="00942386"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Prestazione di mera mano d’opera in edilizia </w:t>
      </w:r>
    </w:p>
    <w:p w14:paraId="151F0026" w14:textId="07A1ECE1" w:rsidR="000854B9" w:rsidRPr="00942386" w:rsidRDefault="000854B9" w:rsidP="000854B9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u w:val="single"/>
          <w:lang w:eastAsia="it-IT"/>
        </w:rPr>
      </w:pPr>
    </w:p>
    <w:p w14:paraId="28D39593" w14:textId="77777777" w:rsidR="001C2B7C" w:rsidRDefault="00A155B4" w:rsidP="00F03AF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Risulta ancora diffusa la modalità di affidamento del montaggio di opere ad </w:t>
      </w:r>
      <w:r w:rsidR="003E1CAF">
        <w:rPr>
          <w:rFonts w:eastAsia="Times New Roman" w:cs="Tahoma"/>
          <w:szCs w:val="20"/>
          <w:lang w:eastAsia="it-IT"/>
        </w:rPr>
        <w:t xml:space="preserve">altra </w:t>
      </w:r>
      <w:r w:rsidRPr="00942386">
        <w:rPr>
          <w:rFonts w:eastAsia="Times New Roman" w:cs="Tahoma"/>
          <w:szCs w:val="20"/>
          <w:lang w:eastAsia="it-IT"/>
        </w:rPr>
        <w:t xml:space="preserve">impresa che, a sua volta subappalta il lavoro ad altra impresa che fornisce </w:t>
      </w:r>
      <w:r w:rsidRPr="00942386">
        <w:rPr>
          <w:rFonts w:eastAsia="Times New Roman" w:cs="Tahoma"/>
          <w:szCs w:val="20"/>
          <w:u w:val="single"/>
          <w:lang w:eastAsia="it-IT"/>
        </w:rPr>
        <w:t>esclusivamente manodopera</w:t>
      </w:r>
      <w:r w:rsidRPr="00942386">
        <w:rPr>
          <w:rFonts w:eastAsia="Times New Roman" w:cs="Tahoma"/>
          <w:szCs w:val="20"/>
          <w:lang w:eastAsia="it-IT"/>
        </w:rPr>
        <w:t xml:space="preserve">, utilizzando attrezzatura della ditta </w:t>
      </w:r>
      <w:r w:rsidR="003E1CAF">
        <w:rPr>
          <w:rFonts w:eastAsia="Times New Roman" w:cs="Tahoma"/>
          <w:szCs w:val="20"/>
          <w:lang w:eastAsia="it-IT"/>
        </w:rPr>
        <w:t>subappaltatrice</w:t>
      </w:r>
      <w:r w:rsidRPr="00942386">
        <w:rPr>
          <w:rFonts w:eastAsia="Times New Roman" w:cs="Tahoma"/>
          <w:szCs w:val="20"/>
          <w:lang w:eastAsia="it-IT"/>
        </w:rPr>
        <w:t xml:space="preserve">. In tal caso viene ravvisata una condizione di </w:t>
      </w:r>
      <w:r w:rsidR="001C2B7C" w:rsidRPr="001C2B7C">
        <w:rPr>
          <w:rFonts w:eastAsia="Times New Roman" w:cs="Tahoma"/>
          <w:i/>
          <w:iCs/>
          <w:szCs w:val="20"/>
          <w:lang w:eastAsia="it-IT"/>
        </w:rPr>
        <w:t>“</w:t>
      </w:r>
      <w:r w:rsidRPr="001C2B7C">
        <w:rPr>
          <w:rFonts w:eastAsia="Times New Roman" w:cs="Tahoma"/>
          <w:i/>
          <w:iCs/>
          <w:szCs w:val="20"/>
          <w:lang w:eastAsia="it-IT"/>
        </w:rPr>
        <w:t>somministrazione di mano d’opera</w:t>
      </w:r>
      <w:r w:rsidR="001C2B7C" w:rsidRPr="001C2B7C">
        <w:rPr>
          <w:rFonts w:eastAsia="Times New Roman" w:cs="Tahoma"/>
          <w:i/>
          <w:iCs/>
          <w:szCs w:val="20"/>
          <w:lang w:eastAsia="it-IT"/>
        </w:rPr>
        <w:t>”</w:t>
      </w:r>
      <w:r w:rsidR="003E1CAF">
        <w:rPr>
          <w:rFonts w:eastAsia="Times New Roman" w:cs="Tahoma"/>
          <w:szCs w:val="20"/>
          <w:lang w:eastAsia="it-IT"/>
        </w:rPr>
        <w:t>.</w:t>
      </w:r>
    </w:p>
    <w:p w14:paraId="38403B5F" w14:textId="557A9A9B" w:rsidR="001C2B7C" w:rsidRDefault="003E1CAF" w:rsidP="00F03AF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Il classico esempio è quello del montaggio dei</w:t>
      </w:r>
      <w:r w:rsidR="00105C6F">
        <w:rPr>
          <w:rFonts w:eastAsia="Times New Roman" w:cs="Tahoma"/>
          <w:szCs w:val="20"/>
          <w:lang w:eastAsia="it-IT"/>
        </w:rPr>
        <w:t xml:space="preserve"> ponteggi: l’impresa affidataria</w:t>
      </w:r>
      <w:bookmarkStart w:id="0" w:name="_GoBack"/>
      <w:bookmarkEnd w:id="0"/>
      <w:r>
        <w:rPr>
          <w:rFonts w:eastAsia="Times New Roman" w:cs="Tahoma"/>
          <w:szCs w:val="20"/>
          <w:lang w:eastAsia="it-IT"/>
        </w:rPr>
        <w:t xml:space="preserve"> affida il nolo, montaggio e smontaggio delle opere provvisionali ad una impresa la quale a sua volta subappalta il solo montaggio e smontaggio dell’opera provvisionale. Tale fenomeno si configura come “</w:t>
      </w:r>
      <w:r w:rsidRPr="003E1CAF">
        <w:rPr>
          <w:rFonts w:eastAsia="Times New Roman" w:cs="Tahoma"/>
          <w:i/>
          <w:iCs/>
          <w:szCs w:val="20"/>
          <w:lang w:eastAsia="it-IT"/>
        </w:rPr>
        <w:t>mera prestazione di manodopera</w:t>
      </w:r>
      <w:r>
        <w:rPr>
          <w:rFonts w:eastAsia="Times New Roman" w:cs="Tahoma"/>
          <w:szCs w:val="20"/>
          <w:lang w:eastAsia="it-IT"/>
        </w:rPr>
        <w:t xml:space="preserve">” che la normativa vigente vieta. In questo caso l’organo di vigilanza </w:t>
      </w:r>
      <w:r w:rsidR="001C2B7C">
        <w:rPr>
          <w:rFonts w:eastAsia="Times New Roman" w:cs="Tahoma"/>
          <w:szCs w:val="20"/>
          <w:lang w:eastAsia="it-IT"/>
        </w:rPr>
        <w:t>è tenuto a contestare al soggetto utilizzatore oltre che le violazioni di natura lavoristica connesse alla riconduzione delle suddette prestazioni al lavoro subordinato, le conseguenti evasioni contributive e gli illeciti riscontrabili in materia di salute e sicurezza con l’adozione di apposito provvedimento di prescrizione obbligatoria ai sensi del D.L.gs 758/1994.</w:t>
      </w:r>
    </w:p>
    <w:p w14:paraId="546641BF" w14:textId="71F514E0" w:rsidR="000854B9" w:rsidRPr="00942386" w:rsidRDefault="000854B9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color w:val="000000" w:themeColor="text1"/>
          <w:szCs w:val="20"/>
          <w:lang w:eastAsia="it-IT"/>
        </w:rPr>
      </w:pPr>
    </w:p>
    <w:p w14:paraId="4D86D0D7" w14:textId="34BD6AC9" w:rsidR="00F03AF5" w:rsidRPr="00942386" w:rsidRDefault="00F03AF5" w:rsidP="00307F3D">
      <w:pPr>
        <w:tabs>
          <w:tab w:val="center" w:pos="4819"/>
          <w:tab w:val="right" w:pos="9638"/>
        </w:tabs>
        <w:ind w:right="-1"/>
        <w:rPr>
          <w:rFonts w:eastAsia="Times New Roman" w:cs="Tahoma"/>
          <w:szCs w:val="20"/>
          <w:lang w:eastAsia="it-IT"/>
        </w:rPr>
      </w:pPr>
    </w:p>
    <w:p w14:paraId="06038A9D" w14:textId="4943EA78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Il Verbalizzante</w:t>
      </w:r>
    </w:p>
    <w:p w14:paraId="2546AB7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Ing. Paola Fognini</w:t>
      </w:r>
    </w:p>
    <w:p w14:paraId="232D300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</w:p>
    <w:p w14:paraId="1797512F" w14:textId="77777777" w:rsidR="00A13853" w:rsidRPr="00942386" w:rsidRDefault="00A13853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color w:val="FF0000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__________________</w:t>
      </w:r>
    </w:p>
    <w:sectPr w:rsidR="00A13853" w:rsidRPr="00942386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3"/>
    <w:rsid w:val="000246F6"/>
    <w:rsid w:val="000462C8"/>
    <w:rsid w:val="00046EC6"/>
    <w:rsid w:val="00054F7D"/>
    <w:rsid w:val="00062DCE"/>
    <w:rsid w:val="00065D91"/>
    <w:rsid w:val="00074866"/>
    <w:rsid w:val="000854B9"/>
    <w:rsid w:val="000B1D7A"/>
    <w:rsid w:val="000D2FDC"/>
    <w:rsid w:val="000E3302"/>
    <w:rsid w:val="000E5D9E"/>
    <w:rsid w:val="000F3827"/>
    <w:rsid w:val="0010177B"/>
    <w:rsid w:val="00103962"/>
    <w:rsid w:val="00105C6F"/>
    <w:rsid w:val="0011044D"/>
    <w:rsid w:val="00110E7E"/>
    <w:rsid w:val="00124532"/>
    <w:rsid w:val="001276F5"/>
    <w:rsid w:val="001513DA"/>
    <w:rsid w:val="00151C84"/>
    <w:rsid w:val="001630D5"/>
    <w:rsid w:val="001818DC"/>
    <w:rsid w:val="001C2B7C"/>
    <w:rsid w:val="001D06DF"/>
    <w:rsid w:val="001E477F"/>
    <w:rsid w:val="001F6ADF"/>
    <w:rsid w:val="00203EFE"/>
    <w:rsid w:val="00220953"/>
    <w:rsid w:val="002210D3"/>
    <w:rsid w:val="0023549E"/>
    <w:rsid w:val="002462AC"/>
    <w:rsid w:val="00275F40"/>
    <w:rsid w:val="00294C63"/>
    <w:rsid w:val="002C3119"/>
    <w:rsid w:val="002D1278"/>
    <w:rsid w:val="002D4097"/>
    <w:rsid w:val="002E7BC4"/>
    <w:rsid w:val="00307F3D"/>
    <w:rsid w:val="00314AB3"/>
    <w:rsid w:val="00320DD2"/>
    <w:rsid w:val="0032136C"/>
    <w:rsid w:val="00323DF4"/>
    <w:rsid w:val="00334EC6"/>
    <w:rsid w:val="003379F3"/>
    <w:rsid w:val="00337B64"/>
    <w:rsid w:val="0034684E"/>
    <w:rsid w:val="00354A69"/>
    <w:rsid w:val="00355461"/>
    <w:rsid w:val="0038365F"/>
    <w:rsid w:val="003A76E2"/>
    <w:rsid w:val="003C0919"/>
    <w:rsid w:val="003D478B"/>
    <w:rsid w:val="003E0145"/>
    <w:rsid w:val="003E1CAF"/>
    <w:rsid w:val="00403CB5"/>
    <w:rsid w:val="004117E9"/>
    <w:rsid w:val="00411930"/>
    <w:rsid w:val="00412981"/>
    <w:rsid w:val="00415598"/>
    <w:rsid w:val="004A3565"/>
    <w:rsid w:val="004B4B80"/>
    <w:rsid w:val="004D7C16"/>
    <w:rsid w:val="004E3784"/>
    <w:rsid w:val="004F0515"/>
    <w:rsid w:val="0050461C"/>
    <w:rsid w:val="00524B4E"/>
    <w:rsid w:val="00536CA4"/>
    <w:rsid w:val="00560ADF"/>
    <w:rsid w:val="00584BE5"/>
    <w:rsid w:val="00586E4C"/>
    <w:rsid w:val="005B6BAB"/>
    <w:rsid w:val="005C1C8E"/>
    <w:rsid w:val="005F7C3C"/>
    <w:rsid w:val="00601D04"/>
    <w:rsid w:val="00607FC9"/>
    <w:rsid w:val="00616E4B"/>
    <w:rsid w:val="00617487"/>
    <w:rsid w:val="00625AF1"/>
    <w:rsid w:val="006458B3"/>
    <w:rsid w:val="006479A8"/>
    <w:rsid w:val="00663B12"/>
    <w:rsid w:val="00670C3F"/>
    <w:rsid w:val="00676B0E"/>
    <w:rsid w:val="006830F5"/>
    <w:rsid w:val="006A6C46"/>
    <w:rsid w:val="006D63A7"/>
    <w:rsid w:val="00706471"/>
    <w:rsid w:val="007240EE"/>
    <w:rsid w:val="0073587D"/>
    <w:rsid w:val="00743961"/>
    <w:rsid w:val="007638B6"/>
    <w:rsid w:val="00792C22"/>
    <w:rsid w:val="007A0354"/>
    <w:rsid w:val="007A11C3"/>
    <w:rsid w:val="007B7F19"/>
    <w:rsid w:val="007D49AC"/>
    <w:rsid w:val="007E5E1D"/>
    <w:rsid w:val="008065DD"/>
    <w:rsid w:val="00821DF6"/>
    <w:rsid w:val="008467E8"/>
    <w:rsid w:val="00854DF3"/>
    <w:rsid w:val="008557A9"/>
    <w:rsid w:val="00860364"/>
    <w:rsid w:val="008C76F0"/>
    <w:rsid w:val="008D35C2"/>
    <w:rsid w:val="008D446C"/>
    <w:rsid w:val="008E3E50"/>
    <w:rsid w:val="008F233D"/>
    <w:rsid w:val="00903FA9"/>
    <w:rsid w:val="009168F2"/>
    <w:rsid w:val="00940CF4"/>
    <w:rsid w:val="00942386"/>
    <w:rsid w:val="00960079"/>
    <w:rsid w:val="00963275"/>
    <w:rsid w:val="0096703D"/>
    <w:rsid w:val="00970062"/>
    <w:rsid w:val="00973EA9"/>
    <w:rsid w:val="00993523"/>
    <w:rsid w:val="009F145A"/>
    <w:rsid w:val="00A0034D"/>
    <w:rsid w:val="00A107E3"/>
    <w:rsid w:val="00A13853"/>
    <w:rsid w:val="00A155B4"/>
    <w:rsid w:val="00A46690"/>
    <w:rsid w:val="00A7331F"/>
    <w:rsid w:val="00A81F89"/>
    <w:rsid w:val="00AB5361"/>
    <w:rsid w:val="00AB7A1E"/>
    <w:rsid w:val="00AC1017"/>
    <w:rsid w:val="00B120B3"/>
    <w:rsid w:val="00B263F5"/>
    <w:rsid w:val="00B26FD4"/>
    <w:rsid w:val="00B3716B"/>
    <w:rsid w:val="00B403CE"/>
    <w:rsid w:val="00B410AF"/>
    <w:rsid w:val="00B82CD5"/>
    <w:rsid w:val="00B9311A"/>
    <w:rsid w:val="00B9436C"/>
    <w:rsid w:val="00B95410"/>
    <w:rsid w:val="00BB0EC8"/>
    <w:rsid w:val="00BB1A69"/>
    <w:rsid w:val="00BB1DD9"/>
    <w:rsid w:val="00BB54B0"/>
    <w:rsid w:val="00BB59F3"/>
    <w:rsid w:val="00BC6F2A"/>
    <w:rsid w:val="00BD2EC0"/>
    <w:rsid w:val="00BF123F"/>
    <w:rsid w:val="00BF17F8"/>
    <w:rsid w:val="00C0434E"/>
    <w:rsid w:val="00C10609"/>
    <w:rsid w:val="00C2035B"/>
    <w:rsid w:val="00C21EB0"/>
    <w:rsid w:val="00C23C99"/>
    <w:rsid w:val="00C34D8B"/>
    <w:rsid w:val="00C50226"/>
    <w:rsid w:val="00C54D2C"/>
    <w:rsid w:val="00C55E0A"/>
    <w:rsid w:val="00C658DE"/>
    <w:rsid w:val="00C65E1A"/>
    <w:rsid w:val="00C76CF1"/>
    <w:rsid w:val="00C8446B"/>
    <w:rsid w:val="00C9183E"/>
    <w:rsid w:val="00D12BC3"/>
    <w:rsid w:val="00D159F3"/>
    <w:rsid w:val="00D31900"/>
    <w:rsid w:val="00D347CC"/>
    <w:rsid w:val="00D41FCD"/>
    <w:rsid w:val="00D6276F"/>
    <w:rsid w:val="00D66472"/>
    <w:rsid w:val="00D876A4"/>
    <w:rsid w:val="00DA251C"/>
    <w:rsid w:val="00DA7F0C"/>
    <w:rsid w:val="00DB4FC2"/>
    <w:rsid w:val="00DB5675"/>
    <w:rsid w:val="00DC7DEF"/>
    <w:rsid w:val="00DE368E"/>
    <w:rsid w:val="00DE7A87"/>
    <w:rsid w:val="00E03F9E"/>
    <w:rsid w:val="00E13A19"/>
    <w:rsid w:val="00E160C7"/>
    <w:rsid w:val="00E2040A"/>
    <w:rsid w:val="00E23B4F"/>
    <w:rsid w:val="00E46F58"/>
    <w:rsid w:val="00E50F08"/>
    <w:rsid w:val="00E6629D"/>
    <w:rsid w:val="00E74060"/>
    <w:rsid w:val="00E83A3F"/>
    <w:rsid w:val="00EB4208"/>
    <w:rsid w:val="00EC7750"/>
    <w:rsid w:val="00ED24F2"/>
    <w:rsid w:val="00F03AF5"/>
    <w:rsid w:val="00F25209"/>
    <w:rsid w:val="00F4020E"/>
    <w:rsid w:val="00F76B2A"/>
    <w:rsid w:val="00F838BA"/>
    <w:rsid w:val="00FA484B"/>
    <w:rsid w:val="00FA6DE6"/>
    <w:rsid w:val="00FB489F"/>
    <w:rsid w:val="00FD76C4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386"/>
    <w:pPr>
      <w:spacing w:after="0" w:line="240" w:lineRule="auto"/>
    </w:pPr>
    <w:rPr>
      <w:rFonts w:ascii="Tahoma" w:hAnsi="Tahom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D159F3"/>
    <w:rPr>
      <w:color w:val="0000FF"/>
      <w:u w:val="single"/>
    </w:rPr>
  </w:style>
  <w:style w:type="paragraph" w:customStyle="1" w:styleId="Default">
    <w:name w:val="Default"/>
    <w:rsid w:val="00942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codice-civile/libro-quinto/titolo-iii/capo-i/art2222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CPT FOGNINI</cp:lastModifiedBy>
  <cp:revision>4</cp:revision>
  <cp:lastPrinted>2019-10-08T10:09:00Z</cp:lastPrinted>
  <dcterms:created xsi:type="dcterms:W3CDTF">2024-01-22T10:10:00Z</dcterms:created>
  <dcterms:modified xsi:type="dcterms:W3CDTF">2024-01-22T10:13:00Z</dcterms:modified>
</cp:coreProperties>
</file>