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853" w:rsidRPr="00867AA4" w:rsidRDefault="00743961" w:rsidP="002E7BC4">
      <w:pPr>
        <w:pStyle w:val="Intestazione"/>
        <w:jc w:val="center"/>
      </w:pPr>
      <w:r>
        <w:rPr>
          <w:noProof/>
        </w:rPr>
        <w:drawing>
          <wp:inline distT="0" distB="0" distL="0" distR="0">
            <wp:extent cx="1790700" cy="132115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T.jpg"/>
                    <pic:cNvPicPr/>
                  </pic:nvPicPr>
                  <pic:blipFill>
                    <a:blip r:embed="rId5">
                      <a:extLst>
                        <a:ext uri="{28A0092B-C50C-407E-A947-70E740481C1C}">
                          <a14:useLocalDpi xmlns:a14="http://schemas.microsoft.com/office/drawing/2010/main" val="0"/>
                        </a:ext>
                      </a:extLst>
                    </a:blip>
                    <a:stretch>
                      <a:fillRect/>
                    </a:stretch>
                  </pic:blipFill>
                  <pic:spPr>
                    <a:xfrm>
                      <a:off x="0" y="0"/>
                      <a:ext cx="1833146" cy="1352476"/>
                    </a:xfrm>
                    <a:prstGeom prst="rect">
                      <a:avLst/>
                    </a:prstGeom>
                  </pic:spPr>
                </pic:pic>
              </a:graphicData>
            </a:graphic>
          </wp:inline>
        </w:drawing>
      </w:r>
    </w:p>
    <w:p w:rsidR="00A13853" w:rsidRPr="00A13853" w:rsidRDefault="00A13853" w:rsidP="002E7BC4">
      <w:pPr>
        <w:tabs>
          <w:tab w:val="center" w:pos="4819"/>
          <w:tab w:val="right" w:pos="9638"/>
        </w:tabs>
        <w:spacing w:after="0" w:line="240" w:lineRule="auto"/>
        <w:ind w:right="283"/>
        <w:jc w:val="both"/>
        <w:rPr>
          <w:rFonts w:ascii="Calibri" w:eastAsia="Times New Roman" w:hAnsi="Calibri" w:cs="Times New Roman"/>
          <w:sz w:val="24"/>
          <w:szCs w:val="24"/>
          <w:lang w:eastAsia="it-IT"/>
        </w:rPr>
      </w:pPr>
    </w:p>
    <w:p w:rsidR="00940CF4" w:rsidRPr="00940CF4" w:rsidRDefault="00940CF4" w:rsidP="00973EA9">
      <w:pPr>
        <w:tabs>
          <w:tab w:val="center" w:pos="4819"/>
          <w:tab w:val="right" w:pos="9638"/>
        </w:tabs>
        <w:spacing w:after="0" w:line="240" w:lineRule="auto"/>
        <w:ind w:right="-1"/>
        <w:jc w:val="center"/>
        <w:rPr>
          <w:rFonts w:ascii="Calibri" w:eastAsia="Times New Roman" w:hAnsi="Calibri" w:cs="Times New Roman"/>
          <w:b/>
          <w:sz w:val="28"/>
          <w:szCs w:val="28"/>
          <w:lang w:eastAsia="it-IT"/>
        </w:rPr>
      </w:pPr>
      <w:r w:rsidRPr="00940CF4">
        <w:rPr>
          <w:rFonts w:ascii="Calibri" w:eastAsia="Times New Roman" w:hAnsi="Calibri" w:cs="Times New Roman"/>
          <w:b/>
          <w:sz w:val="28"/>
          <w:szCs w:val="28"/>
          <w:lang w:eastAsia="it-IT"/>
        </w:rPr>
        <w:t xml:space="preserve">VERBALE INCONTRO T.T. </w:t>
      </w:r>
      <w:r w:rsidR="001F72EC">
        <w:rPr>
          <w:rFonts w:ascii="Calibri" w:eastAsia="Times New Roman" w:hAnsi="Calibri" w:cs="Times New Roman"/>
          <w:b/>
          <w:sz w:val="28"/>
          <w:szCs w:val="28"/>
          <w:lang w:eastAsia="it-IT"/>
        </w:rPr>
        <w:t xml:space="preserve">del </w:t>
      </w:r>
      <w:r w:rsidR="0029380D">
        <w:rPr>
          <w:rFonts w:ascii="Calibri" w:eastAsia="Times New Roman" w:hAnsi="Calibri" w:cs="Times New Roman"/>
          <w:b/>
          <w:sz w:val="28"/>
          <w:szCs w:val="28"/>
          <w:lang w:eastAsia="it-IT"/>
        </w:rPr>
        <w:t>16</w:t>
      </w:r>
      <w:r w:rsidRPr="00940CF4">
        <w:rPr>
          <w:rFonts w:ascii="Calibri" w:eastAsia="Times New Roman" w:hAnsi="Calibri" w:cs="Times New Roman"/>
          <w:b/>
          <w:sz w:val="28"/>
          <w:szCs w:val="28"/>
          <w:lang w:eastAsia="it-IT"/>
        </w:rPr>
        <w:t>.1</w:t>
      </w:r>
      <w:r w:rsidR="0029380D">
        <w:rPr>
          <w:rFonts w:ascii="Calibri" w:eastAsia="Times New Roman" w:hAnsi="Calibri" w:cs="Times New Roman"/>
          <w:b/>
          <w:sz w:val="28"/>
          <w:szCs w:val="28"/>
          <w:lang w:eastAsia="it-IT"/>
        </w:rPr>
        <w:t>2</w:t>
      </w:r>
      <w:r w:rsidRPr="00940CF4">
        <w:rPr>
          <w:rFonts w:ascii="Calibri" w:eastAsia="Times New Roman" w:hAnsi="Calibri" w:cs="Times New Roman"/>
          <w:b/>
          <w:sz w:val="28"/>
          <w:szCs w:val="28"/>
          <w:lang w:eastAsia="it-IT"/>
        </w:rPr>
        <w:t>.2019</w:t>
      </w:r>
    </w:p>
    <w:p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b/>
          <w:sz w:val="28"/>
          <w:szCs w:val="28"/>
          <w:lang w:eastAsia="it-IT"/>
        </w:rPr>
      </w:pPr>
    </w:p>
    <w:p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 xml:space="preserve">In data </w:t>
      </w:r>
      <w:r w:rsidR="00B713B5">
        <w:rPr>
          <w:rFonts w:ascii="Calibri" w:eastAsia="Times New Roman" w:hAnsi="Calibri" w:cs="Times New Roman"/>
          <w:sz w:val="28"/>
          <w:szCs w:val="28"/>
          <w:lang w:eastAsia="it-IT"/>
        </w:rPr>
        <w:t>16 Dicembre</w:t>
      </w:r>
      <w:r w:rsidRPr="00940CF4">
        <w:rPr>
          <w:rFonts w:ascii="Calibri" w:eastAsia="Times New Roman" w:hAnsi="Calibri" w:cs="Times New Roman"/>
          <w:sz w:val="28"/>
          <w:szCs w:val="28"/>
          <w:lang w:eastAsia="it-IT"/>
        </w:rPr>
        <w:t xml:space="preserve"> 2019, presso l’aula magna del S.E.I. – C.P.T. ad Imperia, Via Pr. Gazzano 24, si è tenuto il </w:t>
      </w:r>
      <w:r w:rsidR="001F72EC">
        <w:rPr>
          <w:rFonts w:ascii="Calibri" w:eastAsia="Times New Roman" w:hAnsi="Calibri" w:cs="Times New Roman"/>
          <w:sz w:val="28"/>
          <w:szCs w:val="28"/>
          <w:lang w:eastAsia="it-IT"/>
        </w:rPr>
        <w:t>secondo</w:t>
      </w:r>
      <w:r w:rsidRPr="00940CF4">
        <w:rPr>
          <w:rFonts w:ascii="Calibri" w:eastAsia="Times New Roman" w:hAnsi="Calibri" w:cs="Times New Roman"/>
          <w:sz w:val="28"/>
          <w:szCs w:val="28"/>
          <w:lang w:eastAsia="it-IT"/>
        </w:rPr>
        <w:t xml:space="preserve"> incontro operativo del “Tavolo Tecnico”. Erano presenti: </w:t>
      </w:r>
    </w:p>
    <w:p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Per l’INL: Ing. Marco Grandi</w:t>
      </w:r>
    </w:p>
    <w:p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Per L’INAIL: Dott.ssa Emilia Scavone</w:t>
      </w:r>
    </w:p>
    <w:p w:rsid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 xml:space="preserve">Per l’Area Sicurezza: Ing. Paola </w:t>
      </w:r>
      <w:proofErr w:type="spellStart"/>
      <w:r w:rsidRPr="00940CF4">
        <w:rPr>
          <w:rFonts w:ascii="Calibri" w:eastAsia="Times New Roman" w:hAnsi="Calibri" w:cs="Times New Roman"/>
          <w:sz w:val="28"/>
          <w:szCs w:val="28"/>
          <w:lang w:eastAsia="it-IT"/>
        </w:rPr>
        <w:t>Fognini</w:t>
      </w:r>
      <w:proofErr w:type="spellEnd"/>
      <w:r w:rsidRPr="00940CF4">
        <w:rPr>
          <w:rFonts w:ascii="Calibri" w:eastAsia="Times New Roman" w:hAnsi="Calibri" w:cs="Times New Roman"/>
          <w:sz w:val="28"/>
          <w:szCs w:val="28"/>
          <w:lang w:eastAsia="it-IT"/>
        </w:rPr>
        <w:t xml:space="preserve">, Geom. Gianni </w:t>
      </w:r>
      <w:proofErr w:type="spellStart"/>
      <w:r w:rsidRPr="00940CF4">
        <w:rPr>
          <w:rFonts w:ascii="Calibri" w:eastAsia="Times New Roman" w:hAnsi="Calibri" w:cs="Times New Roman"/>
          <w:sz w:val="28"/>
          <w:szCs w:val="28"/>
          <w:lang w:eastAsia="it-IT"/>
        </w:rPr>
        <w:t>Anfossi</w:t>
      </w:r>
      <w:proofErr w:type="spellEnd"/>
    </w:p>
    <w:p w:rsidR="00B713B5" w:rsidRDefault="00B713B5"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B713B5" w:rsidRDefault="00B713B5"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Assente giustificato Dott. Salvatore Mazzarella</w:t>
      </w:r>
    </w:p>
    <w:p w:rsidR="00B713B5" w:rsidRDefault="00B713B5"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Membri aggiunti:</w:t>
      </w:r>
    </w:p>
    <w:p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Per l’Ordine degli Architetti: Arch. Giulio Flore</w:t>
      </w:r>
    </w:p>
    <w:p w:rsid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Per il Collegio dei Geometri</w:t>
      </w:r>
      <w:r w:rsidR="0024520A">
        <w:rPr>
          <w:rFonts w:ascii="Calibri" w:eastAsia="Times New Roman" w:hAnsi="Calibri" w:cs="Times New Roman"/>
          <w:sz w:val="28"/>
          <w:szCs w:val="28"/>
          <w:lang w:eastAsia="it-IT"/>
        </w:rPr>
        <w:t xml:space="preserve"> e Geometri </w:t>
      </w:r>
      <w:proofErr w:type="gramStart"/>
      <w:r w:rsidR="0024520A">
        <w:rPr>
          <w:rFonts w:ascii="Calibri" w:eastAsia="Times New Roman" w:hAnsi="Calibri" w:cs="Times New Roman"/>
          <w:sz w:val="28"/>
          <w:szCs w:val="28"/>
          <w:lang w:eastAsia="it-IT"/>
        </w:rPr>
        <w:t xml:space="preserve">Laureati </w:t>
      </w:r>
      <w:r w:rsidRPr="00940CF4">
        <w:rPr>
          <w:rFonts w:ascii="Calibri" w:eastAsia="Times New Roman" w:hAnsi="Calibri" w:cs="Times New Roman"/>
          <w:sz w:val="28"/>
          <w:szCs w:val="28"/>
          <w:lang w:eastAsia="it-IT"/>
        </w:rPr>
        <w:t>:</w:t>
      </w:r>
      <w:proofErr w:type="gramEnd"/>
      <w:r w:rsidRPr="00940CF4">
        <w:rPr>
          <w:rFonts w:ascii="Calibri" w:eastAsia="Times New Roman" w:hAnsi="Calibri" w:cs="Times New Roman"/>
          <w:sz w:val="28"/>
          <w:szCs w:val="28"/>
          <w:lang w:eastAsia="it-IT"/>
        </w:rPr>
        <w:t xml:space="preserve"> Geom. Davide Sgrò</w:t>
      </w:r>
    </w:p>
    <w:p w:rsidR="00940CF4" w:rsidRDefault="00B713B5"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Per l’Ordine dei TSRM: Dott. Francesco </w:t>
      </w:r>
      <w:proofErr w:type="spellStart"/>
      <w:r>
        <w:rPr>
          <w:rFonts w:ascii="Calibri" w:eastAsia="Times New Roman" w:hAnsi="Calibri" w:cs="Times New Roman"/>
          <w:sz w:val="28"/>
          <w:szCs w:val="28"/>
          <w:lang w:eastAsia="it-IT"/>
        </w:rPr>
        <w:t>Rotomondo</w:t>
      </w:r>
      <w:proofErr w:type="spellEnd"/>
    </w:p>
    <w:p w:rsidR="00B713B5" w:rsidRDefault="00B713B5"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Per </w:t>
      </w:r>
      <w:r w:rsidR="0024520A">
        <w:rPr>
          <w:rFonts w:ascii="Calibri" w:eastAsia="Times New Roman" w:hAnsi="Calibri" w:cs="Times New Roman"/>
          <w:sz w:val="28"/>
          <w:szCs w:val="28"/>
          <w:lang w:eastAsia="it-IT"/>
        </w:rPr>
        <w:t xml:space="preserve">l’Ordine dei </w:t>
      </w:r>
      <w:r>
        <w:rPr>
          <w:rFonts w:ascii="Calibri" w:eastAsia="Times New Roman" w:hAnsi="Calibri" w:cs="Times New Roman"/>
          <w:sz w:val="28"/>
          <w:szCs w:val="28"/>
          <w:lang w:eastAsia="it-IT"/>
        </w:rPr>
        <w:t>Periti Industriali</w:t>
      </w:r>
      <w:r w:rsidR="0024520A">
        <w:rPr>
          <w:rFonts w:ascii="Calibri" w:eastAsia="Times New Roman" w:hAnsi="Calibri" w:cs="Times New Roman"/>
          <w:sz w:val="28"/>
          <w:szCs w:val="28"/>
          <w:lang w:eastAsia="it-IT"/>
        </w:rPr>
        <w:t xml:space="preserve"> e Periti Industriali </w:t>
      </w:r>
      <w:proofErr w:type="gramStart"/>
      <w:r w:rsidR="0024520A">
        <w:rPr>
          <w:rFonts w:ascii="Calibri" w:eastAsia="Times New Roman" w:hAnsi="Calibri" w:cs="Times New Roman"/>
          <w:sz w:val="28"/>
          <w:szCs w:val="28"/>
          <w:lang w:eastAsia="it-IT"/>
        </w:rPr>
        <w:t xml:space="preserve">Laureati </w:t>
      </w:r>
      <w:r>
        <w:rPr>
          <w:rFonts w:ascii="Calibri" w:eastAsia="Times New Roman" w:hAnsi="Calibri" w:cs="Times New Roman"/>
          <w:sz w:val="28"/>
          <w:szCs w:val="28"/>
          <w:lang w:eastAsia="it-IT"/>
        </w:rPr>
        <w:t>:</w:t>
      </w:r>
      <w:proofErr w:type="gramEnd"/>
      <w:r>
        <w:rPr>
          <w:rFonts w:ascii="Calibri" w:eastAsia="Times New Roman" w:hAnsi="Calibri" w:cs="Times New Roman"/>
          <w:sz w:val="28"/>
          <w:szCs w:val="28"/>
          <w:lang w:eastAsia="it-IT"/>
        </w:rPr>
        <w:t xml:space="preserve"> P.I. Luca Gallo</w:t>
      </w:r>
    </w:p>
    <w:p w:rsidR="00B713B5" w:rsidRDefault="00B713B5"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B713B5" w:rsidRDefault="00B713B5"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CA5A4D">
        <w:rPr>
          <w:rFonts w:ascii="Calibri" w:eastAsia="Times New Roman" w:hAnsi="Calibri" w:cs="Times New Roman"/>
          <w:sz w:val="28"/>
          <w:szCs w:val="28"/>
          <w:lang w:eastAsia="it-IT"/>
        </w:rPr>
        <w:t>RLST C</w:t>
      </w:r>
      <w:r w:rsidR="002C2789" w:rsidRPr="00CA5A4D">
        <w:rPr>
          <w:rFonts w:ascii="Calibri" w:eastAsia="Times New Roman" w:hAnsi="Calibri" w:cs="Times New Roman"/>
          <w:sz w:val="28"/>
          <w:szCs w:val="28"/>
          <w:lang w:eastAsia="it-IT"/>
        </w:rPr>
        <w:t>ISL</w:t>
      </w:r>
      <w:r w:rsidRPr="00CA5A4D">
        <w:rPr>
          <w:rFonts w:ascii="Calibri" w:eastAsia="Times New Roman" w:hAnsi="Calibri" w:cs="Times New Roman"/>
          <w:sz w:val="28"/>
          <w:szCs w:val="28"/>
          <w:lang w:eastAsia="it-IT"/>
        </w:rPr>
        <w:t xml:space="preserve"> </w:t>
      </w:r>
      <w:proofErr w:type="spellStart"/>
      <w:r w:rsidR="002C2789" w:rsidRPr="00CA5A4D">
        <w:rPr>
          <w:rFonts w:ascii="Calibri" w:eastAsia="Calibri" w:hAnsi="Calibri"/>
          <w:sz w:val="28"/>
          <w:szCs w:val="28"/>
        </w:rPr>
        <w:t>Frisiani</w:t>
      </w:r>
      <w:proofErr w:type="spellEnd"/>
      <w:r w:rsidR="002C2789" w:rsidRPr="00CA5A4D">
        <w:rPr>
          <w:rFonts w:ascii="Calibri" w:eastAsia="Calibri" w:hAnsi="Calibri"/>
          <w:sz w:val="28"/>
          <w:szCs w:val="28"/>
        </w:rPr>
        <w:t xml:space="preserve"> Massimo</w:t>
      </w:r>
    </w:p>
    <w:p w:rsidR="00B713B5" w:rsidRPr="00940CF4" w:rsidRDefault="00B713B5"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EE28D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Dopo i saluti ai partecipanti e le reciproche presentazioni dei rappresentanti dei vari En</w:t>
      </w:r>
      <w:r w:rsidR="00B713B5">
        <w:rPr>
          <w:rFonts w:ascii="Calibri" w:eastAsia="Times New Roman" w:hAnsi="Calibri" w:cs="Times New Roman"/>
          <w:sz w:val="28"/>
          <w:szCs w:val="28"/>
          <w:lang w:eastAsia="it-IT"/>
        </w:rPr>
        <w:t xml:space="preserve">ti/Ordini-Collegi professionali aventi aderito all’iniziativa, si informano i presenti circa la sottoscrizione ufficiale del Protocollo di intesa, avvenuta </w:t>
      </w:r>
      <w:r w:rsidR="00AA2A6F">
        <w:rPr>
          <w:rFonts w:ascii="Calibri" w:eastAsia="Times New Roman" w:hAnsi="Calibri" w:cs="Times New Roman"/>
          <w:sz w:val="28"/>
          <w:szCs w:val="28"/>
          <w:lang w:eastAsia="it-IT"/>
        </w:rPr>
        <w:t>il 31 Ottobre scorso</w:t>
      </w:r>
      <w:r w:rsidR="006C179D">
        <w:rPr>
          <w:rFonts w:ascii="Calibri" w:eastAsia="Times New Roman" w:hAnsi="Calibri" w:cs="Times New Roman"/>
          <w:sz w:val="28"/>
          <w:szCs w:val="28"/>
          <w:lang w:eastAsia="it-IT"/>
        </w:rPr>
        <w:t>, presso la sede INAIL di Imperia. Purtroppo, per motivi interni il NIL non ha potuto aderire all’iniziativa, in quanto dovrà passare al vaglio dell’approvazione del Comando Generale avente sede a Roma e anche l‘INL ha chiesto solo un posticipo, a causa dell’arrivo del nuovo dirigente di sede, il quale ha comunque già dato il consenso alla sottoscrizione, che avverrà nella giornata di domani. Si coglie quindi l’occasione per puntualizzare che, ai fini della efficacia di questo tavolo tecnico, dovrebbero sempre presenziare i membri nominati dagli Enti di controllo, se non in prima persona, attraverso la partecipazione del sostituto, la cui nomina è stata richiesta proprio per garantirne la rappresentanza</w:t>
      </w:r>
      <w:r w:rsidR="00EE28D4">
        <w:rPr>
          <w:rFonts w:ascii="Calibri" w:eastAsia="Times New Roman" w:hAnsi="Calibri" w:cs="Times New Roman"/>
          <w:sz w:val="28"/>
          <w:szCs w:val="28"/>
          <w:lang w:eastAsia="it-IT"/>
        </w:rPr>
        <w:t>.</w:t>
      </w:r>
    </w:p>
    <w:p w:rsidR="00EE28D4" w:rsidRPr="00AA2A6F" w:rsidRDefault="00EE28D4" w:rsidP="00EE28D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Prima di iniziare la riunione interviene brevemente il Direttore della S.E.I-C.P.T. Francesco Castellaro, il quale esprime il suo disappunto riguardo all’erogazione della formazione da parte di figure/enti non accreditate e/o comunque non rispettose dei dettami normativi, i quali rilasciano attestati di frequenza senza svolgere effettivamente le ore di formazione prevista e chiede se sia possibile intensificare ed approfondire i controlli da parte degli Organi Ispettivi.</w:t>
      </w:r>
      <w:r w:rsidR="00940CF4" w:rsidRPr="00940CF4">
        <w:rPr>
          <w:rFonts w:ascii="Calibri" w:eastAsia="Times New Roman" w:hAnsi="Calibri" w:cs="Times New Roman"/>
          <w:sz w:val="28"/>
          <w:szCs w:val="28"/>
          <w:lang w:eastAsia="it-IT"/>
        </w:rPr>
        <w:t xml:space="preserve"> l’Ing. Grandi </w:t>
      </w:r>
      <w:r>
        <w:rPr>
          <w:rFonts w:ascii="Calibri" w:eastAsia="Times New Roman" w:hAnsi="Calibri" w:cs="Times New Roman"/>
          <w:sz w:val="28"/>
          <w:szCs w:val="28"/>
          <w:lang w:eastAsia="it-IT"/>
        </w:rPr>
        <w:t xml:space="preserve">dichiara di essere </w:t>
      </w:r>
      <w:r>
        <w:rPr>
          <w:rFonts w:ascii="Calibri" w:eastAsia="Times New Roman" w:hAnsi="Calibri" w:cs="Times New Roman"/>
          <w:sz w:val="28"/>
          <w:szCs w:val="28"/>
          <w:lang w:eastAsia="it-IT"/>
        </w:rPr>
        <w:lastRenderedPageBreak/>
        <w:t>purtroppo a conoscenza di questa situazione largamente diffusa sul nostro territorio e</w:t>
      </w:r>
      <w:r w:rsidR="00AA2A6F">
        <w:rPr>
          <w:rFonts w:ascii="Calibri" w:eastAsia="Times New Roman" w:hAnsi="Calibri" w:cs="Times New Roman"/>
          <w:sz w:val="28"/>
          <w:szCs w:val="28"/>
          <w:lang w:eastAsia="it-IT"/>
        </w:rPr>
        <w:t xml:space="preserve"> che condivide l’importanza per i lavoratori di ricevere una reale ed efficace formazione</w:t>
      </w:r>
      <w:r w:rsidRPr="00AA2A6F">
        <w:rPr>
          <w:rFonts w:ascii="Calibri" w:eastAsia="Times New Roman" w:hAnsi="Calibri" w:cs="Times New Roman"/>
          <w:sz w:val="28"/>
          <w:szCs w:val="28"/>
          <w:lang w:eastAsia="it-IT"/>
        </w:rPr>
        <w:t xml:space="preserve"> </w:t>
      </w:r>
      <w:r w:rsidR="00AA2A6F" w:rsidRPr="00AA2A6F">
        <w:rPr>
          <w:rFonts w:ascii="Calibri" w:eastAsia="Times New Roman" w:hAnsi="Calibri" w:cs="Times New Roman"/>
          <w:sz w:val="28"/>
          <w:szCs w:val="28"/>
          <w:lang w:eastAsia="it-IT"/>
        </w:rPr>
        <w:t>in materia di salute e sicurezza.</w:t>
      </w:r>
    </w:p>
    <w:p w:rsidR="000B6F21" w:rsidRPr="009C6039" w:rsidRDefault="000B6F21" w:rsidP="00EE28D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C6039">
        <w:rPr>
          <w:rFonts w:ascii="Calibri" w:eastAsia="Times New Roman" w:hAnsi="Calibri" w:cs="Times New Roman"/>
          <w:sz w:val="28"/>
          <w:szCs w:val="28"/>
          <w:lang w:eastAsia="it-IT"/>
        </w:rPr>
        <w:t xml:space="preserve">Si valuterà anche se è possibile, attraverso protocolli di intesa, chiedere che venga rispettata </w:t>
      </w:r>
      <w:r w:rsidR="009C6039" w:rsidRPr="009C6039">
        <w:rPr>
          <w:rFonts w:ascii="Calibri" w:eastAsia="Times New Roman" w:hAnsi="Calibri" w:cs="Times New Roman"/>
          <w:sz w:val="28"/>
          <w:szCs w:val="28"/>
          <w:lang w:eastAsia="it-IT"/>
        </w:rPr>
        <w:t>la collaborazione con gli Organismi Paritetici, come prescritto (anche se non sanzionato) dall’Accordo Stato Regioni del 21/12/2011</w:t>
      </w:r>
      <w:r w:rsidR="00AA2A6F">
        <w:rPr>
          <w:rFonts w:ascii="Calibri" w:eastAsia="Times New Roman" w:hAnsi="Calibri" w:cs="Times New Roman"/>
          <w:sz w:val="28"/>
          <w:szCs w:val="28"/>
          <w:lang w:eastAsia="it-IT"/>
        </w:rPr>
        <w:t>.</w:t>
      </w:r>
    </w:p>
    <w:p w:rsidR="000B6F21" w:rsidRDefault="00EE28D4" w:rsidP="00EE28D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Si decide quindi all’unanimità di chiedere che venga creato un apposito link di </w:t>
      </w:r>
      <w:r w:rsidR="000B6F21">
        <w:rPr>
          <w:rFonts w:ascii="Calibri" w:eastAsia="Times New Roman" w:hAnsi="Calibri" w:cs="Times New Roman"/>
          <w:sz w:val="28"/>
          <w:szCs w:val="28"/>
          <w:lang w:eastAsia="it-IT"/>
        </w:rPr>
        <w:t xml:space="preserve">raccordo con una pagina dedicata al </w:t>
      </w:r>
      <w:r w:rsidR="00AA2A6F">
        <w:rPr>
          <w:rFonts w:ascii="Calibri" w:eastAsia="Times New Roman" w:hAnsi="Calibri" w:cs="Times New Roman"/>
          <w:sz w:val="28"/>
          <w:szCs w:val="28"/>
          <w:lang w:eastAsia="it-IT"/>
        </w:rPr>
        <w:t>Tavolo Tecnico, sul sito del S.E.</w:t>
      </w:r>
      <w:r w:rsidR="000B6F21">
        <w:rPr>
          <w:rFonts w:ascii="Calibri" w:eastAsia="Times New Roman" w:hAnsi="Calibri" w:cs="Times New Roman"/>
          <w:sz w:val="28"/>
          <w:szCs w:val="28"/>
          <w:lang w:eastAsia="it-IT"/>
        </w:rPr>
        <w:t xml:space="preserve">I.-C.P.T., </w:t>
      </w:r>
      <w:r w:rsidR="00341F89">
        <w:rPr>
          <w:rFonts w:ascii="Calibri" w:eastAsia="Times New Roman" w:hAnsi="Calibri" w:cs="Times New Roman"/>
          <w:sz w:val="28"/>
          <w:szCs w:val="28"/>
          <w:lang w:eastAsia="it-IT"/>
        </w:rPr>
        <w:t>nella quale</w:t>
      </w:r>
      <w:r w:rsidR="000B6F21">
        <w:rPr>
          <w:rFonts w:ascii="Calibri" w:eastAsia="Times New Roman" w:hAnsi="Calibri" w:cs="Times New Roman"/>
          <w:sz w:val="28"/>
          <w:szCs w:val="28"/>
          <w:lang w:eastAsia="it-IT"/>
        </w:rPr>
        <w:t xml:space="preserve"> caricare il file de</w:t>
      </w:r>
      <w:r w:rsidR="00AA2A6F">
        <w:rPr>
          <w:rFonts w:ascii="Calibri" w:eastAsia="Times New Roman" w:hAnsi="Calibri" w:cs="Times New Roman"/>
          <w:sz w:val="28"/>
          <w:szCs w:val="28"/>
          <w:lang w:eastAsia="it-IT"/>
        </w:rPr>
        <w:t>i</w:t>
      </w:r>
      <w:r w:rsidR="000B6F21">
        <w:rPr>
          <w:rFonts w:ascii="Calibri" w:eastAsia="Times New Roman" w:hAnsi="Calibri" w:cs="Times New Roman"/>
          <w:sz w:val="28"/>
          <w:szCs w:val="28"/>
          <w:lang w:eastAsia="it-IT"/>
        </w:rPr>
        <w:t xml:space="preserve"> verbal</w:t>
      </w:r>
      <w:r w:rsidR="00AA2A6F">
        <w:rPr>
          <w:rFonts w:ascii="Calibri" w:eastAsia="Times New Roman" w:hAnsi="Calibri" w:cs="Times New Roman"/>
          <w:sz w:val="28"/>
          <w:szCs w:val="28"/>
          <w:lang w:eastAsia="it-IT"/>
        </w:rPr>
        <w:t>i</w:t>
      </w:r>
      <w:r w:rsidR="000B6F21">
        <w:rPr>
          <w:rFonts w:ascii="Calibri" w:eastAsia="Times New Roman" w:hAnsi="Calibri" w:cs="Times New Roman"/>
          <w:sz w:val="28"/>
          <w:szCs w:val="28"/>
          <w:lang w:eastAsia="it-IT"/>
        </w:rPr>
        <w:t xml:space="preserve"> con le considerazioni fatte e le risposte tecniche date ai quesiti, in modo che tutti possano avervi accesso.</w:t>
      </w:r>
    </w:p>
    <w:p w:rsidR="00EE28D4" w:rsidRDefault="000B6F21" w:rsidP="00EE28D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S</w:t>
      </w:r>
      <w:r w:rsidR="00341F89">
        <w:rPr>
          <w:rFonts w:ascii="Calibri" w:eastAsia="Times New Roman" w:hAnsi="Calibri" w:cs="Times New Roman"/>
          <w:sz w:val="28"/>
          <w:szCs w:val="28"/>
          <w:lang w:eastAsia="it-IT"/>
        </w:rPr>
        <w:t>i</w:t>
      </w:r>
      <w:r>
        <w:rPr>
          <w:rFonts w:ascii="Calibri" w:eastAsia="Times New Roman" w:hAnsi="Calibri" w:cs="Times New Roman"/>
          <w:sz w:val="28"/>
          <w:szCs w:val="28"/>
          <w:lang w:eastAsia="it-IT"/>
        </w:rPr>
        <w:t xml:space="preserve"> riprende il discorso sui lavori in quota, affrontato durante il primo incontro e non concluso. </w:t>
      </w:r>
    </w:p>
    <w:p w:rsidR="00EE28D4" w:rsidRDefault="00EE28D4" w:rsidP="00EE28D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In riferimento ai quesiti giunti dagli ordini/collegi professionali si riportano </w:t>
      </w:r>
      <w:r>
        <w:rPr>
          <w:rFonts w:ascii="Calibri" w:eastAsia="Times New Roman" w:hAnsi="Calibri" w:cs="Times New Roman"/>
          <w:sz w:val="28"/>
          <w:szCs w:val="28"/>
          <w:lang w:eastAsia="it-IT"/>
        </w:rPr>
        <w:t xml:space="preserve">le </w:t>
      </w:r>
      <w:r w:rsidRPr="00341F89">
        <w:rPr>
          <w:rFonts w:ascii="Calibri" w:eastAsia="Times New Roman" w:hAnsi="Calibri" w:cs="Times New Roman"/>
          <w:sz w:val="28"/>
          <w:szCs w:val="28"/>
          <w:lang w:eastAsia="it-IT"/>
        </w:rPr>
        <w:t xml:space="preserve">risposte che sono state condivise dai presenti all’incontro, rammentando che, come già ricordato nel Protocollo di istituzione del TT le interpretazioni elaborate </w:t>
      </w:r>
      <w:r>
        <w:rPr>
          <w:rFonts w:ascii="Calibri" w:eastAsia="Times New Roman" w:hAnsi="Calibri" w:cs="Times New Roman"/>
          <w:sz w:val="28"/>
          <w:szCs w:val="28"/>
          <w:lang w:eastAsia="it-IT"/>
        </w:rPr>
        <w:t>esprimono</w:t>
      </w:r>
      <w:r w:rsidRPr="00341F89">
        <w:rPr>
          <w:rFonts w:ascii="Calibri" w:eastAsia="Times New Roman" w:hAnsi="Calibri" w:cs="Times New Roman"/>
          <w:sz w:val="28"/>
          <w:szCs w:val="28"/>
          <w:lang w:eastAsia="it-IT"/>
        </w:rPr>
        <w:t xml:space="preserve"> “esclusivamente la sintesi del pensiero dei rappresentanti degli Enti Promotori. Tali elaborati, quindi, non costituendo risposte ad Interpello ex art. 12 del </w:t>
      </w:r>
      <w:proofErr w:type="spellStart"/>
      <w:r w:rsidRPr="00341F89">
        <w:rPr>
          <w:rFonts w:ascii="Calibri" w:eastAsia="Times New Roman" w:hAnsi="Calibri" w:cs="Times New Roman"/>
          <w:sz w:val="28"/>
          <w:szCs w:val="28"/>
          <w:lang w:eastAsia="it-IT"/>
        </w:rPr>
        <w:t>D.Lgs.</w:t>
      </w:r>
      <w:proofErr w:type="spellEnd"/>
      <w:r w:rsidRPr="00341F89">
        <w:rPr>
          <w:rFonts w:ascii="Calibri" w:eastAsia="Times New Roman" w:hAnsi="Calibri" w:cs="Times New Roman"/>
          <w:sz w:val="28"/>
          <w:szCs w:val="28"/>
          <w:lang w:eastAsia="it-IT"/>
        </w:rPr>
        <w:t xml:space="preserve"> 81/08 e </w:t>
      </w:r>
      <w:proofErr w:type="spellStart"/>
      <w:r w:rsidRPr="00341F89">
        <w:rPr>
          <w:rFonts w:ascii="Calibri" w:eastAsia="Times New Roman" w:hAnsi="Calibri" w:cs="Times New Roman"/>
          <w:sz w:val="28"/>
          <w:szCs w:val="28"/>
          <w:lang w:eastAsia="it-IT"/>
        </w:rPr>
        <w:t>smi</w:t>
      </w:r>
      <w:proofErr w:type="spellEnd"/>
      <w:r w:rsidRPr="00341F89">
        <w:rPr>
          <w:rFonts w:ascii="Calibri" w:eastAsia="Times New Roman" w:hAnsi="Calibri" w:cs="Times New Roman"/>
          <w:sz w:val="28"/>
          <w:szCs w:val="28"/>
          <w:lang w:eastAsia="it-IT"/>
        </w:rPr>
        <w:t>, non avranno carattere impegnativo per le rispettive Amministrazioni di appartenenza”. Inoltre, esse saranno da considerare “superate” nel caso vengano emanate norme, interpelli o circolari interpretative ufficiali.</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341F89" w:rsidRPr="00A66E15"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u w:val="single"/>
          <w:lang w:eastAsia="it-IT"/>
        </w:rPr>
      </w:pPr>
      <w:r w:rsidRPr="00A66E15">
        <w:rPr>
          <w:rFonts w:ascii="Calibri" w:eastAsia="Times New Roman" w:hAnsi="Calibri" w:cs="Times New Roman"/>
          <w:sz w:val="28"/>
          <w:szCs w:val="28"/>
          <w:u w:val="single"/>
          <w:lang w:eastAsia="it-IT"/>
        </w:rPr>
        <w:t>Quesito n.1)</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Qual è il numero minimo di addetti necessario per effettuare il montaggio, trasformazione e smontaggio di un ponteggio? </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Risposta</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Il numero minimo di addetti dipende dalla complessità del ponteggio. Secondo la normativa vigente (art. 136 c.6 del </w:t>
      </w:r>
      <w:proofErr w:type="spellStart"/>
      <w:r w:rsidRPr="00341F89">
        <w:rPr>
          <w:rFonts w:ascii="Calibri" w:eastAsia="Times New Roman" w:hAnsi="Calibri" w:cs="Times New Roman"/>
          <w:sz w:val="28"/>
          <w:szCs w:val="28"/>
          <w:lang w:eastAsia="it-IT"/>
        </w:rPr>
        <w:t>D.Lgs.</w:t>
      </w:r>
      <w:proofErr w:type="spellEnd"/>
      <w:r w:rsidRPr="00341F89">
        <w:rPr>
          <w:rFonts w:ascii="Calibri" w:eastAsia="Times New Roman" w:hAnsi="Calibri" w:cs="Times New Roman"/>
          <w:sz w:val="28"/>
          <w:szCs w:val="28"/>
          <w:lang w:eastAsia="it-IT"/>
        </w:rPr>
        <w:t xml:space="preserve"> 81/08 e </w:t>
      </w:r>
      <w:proofErr w:type="spellStart"/>
      <w:r w:rsidRPr="00341F89">
        <w:rPr>
          <w:rFonts w:ascii="Calibri" w:eastAsia="Times New Roman" w:hAnsi="Calibri" w:cs="Times New Roman"/>
          <w:sz w:val="28"/>
          <w:szCs w:val="28"/>
          <w:lang w:eastAsia="it-IT"/>
        </w:rPr>
        <w:t>smi</w:t>
      </w:r>
      <w:proofErr w:type="spellEnd"/>
      <w:r w:rsidRPr="00341F89">
        <w:rPr>
          <w:rFonts w:ascii="Calibri" w:eastAsia="Times New Roman" w:hAnsi="Calibri" w:cs="Times New Roman"/>
          <w:sz w:val="28"/>
          <w:szCs w:val="28"/>
          <w:lang w:eastAsia="it-IT"/>
        </w:rPr>
        <w:t xml:space="preserve">) “Il datore di lavoro assicura che i ponteggi siano montati, smontati o trasformati sotto la diretta sorveglianza di un preposto, a regola d’arte e conformemente al </w:t>
      </w:r>
      <w:proofErr w:type="spellStart"/>
      <w:r w:rsidRPr="00341F89">
        <w:rPr>
          <w:rFonts w:ascii="Calibri" w:eastAsia="Times New Roman" w:hAnsi="Calibri" w:cs="Times New Roman"/>
          <w:sz w:val="28"/>
          <w:szCs w:val="28"/>
          <w:lang w:eastAsia="it-IT"/>
        </w:rPr>
        <w:t>Pi.M.</w:t>
      </w:r>
      <w:proofErr w:type="gramStart"/>
      <w:r w:rsidRPr="00341F89">
        <w:rPr>
          <w:rFonts w:ascii="Calibri" w:eastAsia="Times New Roman" w:hAnsi="Calibri" w:cs="Times New Roman"/>
          <w:sz w:val="28"/>
          <w:szCs w:val="28"/>
          <w:lang w:eastAsia="it-IT"/>
        </w:rPr>
        <w:t>U.S</w:t>
      </w:r>
      <w:proofErr w:type="spellEnd"/>
      <w:r w:rsidRPr="00341F89">
        <w:rPr>
          <w:rFonts w:ascii="Calibri" w:eastAsia="Times New Roman" w:hAnsi="Calibri" w:cs="Times New Roman"/>
          <w:sz w:val="28"/>
          <w:szCs w:val="28"/>
          <w:lang w:eastAsia="it-IT"/>
        </w:rPr>
        <w:t>….</w:t>
      </w:r>
      <w:proofErr w:type="gramEnd"/>
      <w:r w:rsidRPr="00341F89">
        <w:rPr>
          <w:rFonts w:ascii="Calibri" w:eastAsia="Times New Roman" w:hAnsi="Calibri" w:cs="Times New Roman"/>
          <w:sz w:val="28"/>
          <w:szCs w:val="28"/>
          <w:lang w:eastAsia="it-IT"/>
        </w:rPr>
        <w:t xml:space="preserve">”. Quindi il legislatore non ha stabilito un numero minimo obbligatorio di addetti al montaggio, trasformazione e smontaggio del ponteggio, ma tale numero di addetti è quello che può garantire che le diverse fasi di lavoro possano avvenire in sicurezza, coerentemente con quanto previsto nel </w:t>
      </w:r>
      <w:proofErr w:type="spellStart"/>
      <w:r w:rsidRPr="00341F89">
        <w:rPr>
          <w:rFonts w:ascii="Calibri" w:eastAsia="Times New Roman" w:hAnsi="Calibri" w:cs="Times New Roman"/>
          <w:sz w:val="28"/>
          <w:szCs w:val="28"/>
          <w:lang w:eastAsia="it-IT"/>
        </w:rPr>
        <w:t>Pi.M.U.S</w:t>
      </w:r>
      <w:proofErr w:type="spellEnd"/>
      <w:r w:rsidRPr="00341F89">
        <w:rPr>
          <w:rFonts w:ascii="Calibri" w:eastAsia="Times New Roman" w:hAnsi="Calibri" w:cs="Times New Roman"/>
          <w:sz w:val="28"/>
          <w:szCs w:val="28"/>
          <w:lang w:eastAsia="it-IT"/>
        </w:rPr>
        <w:t xml:space="preserve">. Si ritiene che, anche alla luce di un’interpretazione giurisprudenziale (cfr. </w:t>
      </w:r>
      <w:proofErr w:type="spellStart"/>
      <w:r w:rsidRPr="00341F89">
        <w:rPr>
          <w:rFonts w:ascii="Calibri" w:eastAsia="Times New Roman" w:hAnsi="Calibri" w:cs="Times New Roman"/>
          <w:sz w:val="28"/>
          <w:szCs w:val="28"/>
          <w:lang w:eastAsia="it-IT"/>
        </w:rPr>
        <w:t>Cass</w:t>
      </w:r>
      <w:proofErr w:type="spellEnd"/>
      <w:r w:rsidRPr="00341F89">
        <w:rPr>
          <w:rFonts w:ascii="Calibri" w:eastAsia="Times New Roman" w:hAnsi="Calibri" w:cs="Times New Roman"/>
          <w:sz w:val="28"/>
          <w:szCs w:val="28"/>
          <w:lang w:eastAsia="it-IT"/>
        </w:rPr>
        <w:t>. Pen. Sez. III – Sentenza n. 28389 del 16/07/2012) per ponteggi di limitata complessità vi debba essere almeno la presenza obbligatoria di due soggetti, dei quali uno anche con le funzioni di preposto. Si può considerare di limitata complessità un ponteggio che abbia delle caratteristiche di forma e dimensioni tali da permettere all’addetto-preposto, di poter svolgere esaurientemente tutte le attività di sorveglianza necessarie durante le fasi di montaggio, trasformazione e smontaggio dell’opera provvisionale.</w:t>
      </w:r>
    </w:p>
    <w:p w:rsid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005AA9" w:rsidRDefault="00005AA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005AA9" w:rsidRPr="00341F89" w:rsidRDefault="00005AA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341F89" w:rsidRPr="00A66E15"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u w:val="single"/>
          <w:lang w:eastAsia="it-IT"/>
        </w:rPr>
      </w:pPr>
      <w:r w:rsidRPr="00A66E15">
        <w:rPr>
          <w:rFonts w:ascii="Calibri" w:eastAsia="Times New Roman" w:hAnsi="Calibri" w:cs="Times New Roman"/>
          <w:sz w:val="28"/>
          <w:szCs w:val="28"/>
          <w:u w:val="single"/>
          <w:lang w:eastAsia="it-IT"/>
        </w:rPr>
        <w:lastRenderedPageBreak/>
        <w:t>Quesito n.2)</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Qual è la formazione adeguata per il lavoratore che in fase di montaggio e smontaggio di un ponteggio sta a terra e si limita a passare/ricevere gli elementi del ponteggio (il cosiddetto “uomo a terra”)?</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Risposta</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Poiché, secondo la normativa vigente, i ponteggi devono essere montati, smontati o trasformati “ad opera di lavoratori che hanno ricevuto una formazione adeguata e mirata alle operazioni previste”, si ritiene che tutto il personale della squadra di addetti al montaggio, smontaggio o trasformazione del ponteggio deve aver ricevuto la formazione i cui requisiti minimi di sono riportati nell’Allegato XXI (cosiddetto “patentino” per i ponteggiatori), compreso l’addetto operante esclusivamente a terra. Si rammenta che il preposto deve partecipare, oltre ai corsi di formazione o aggiornamento disciplinati dall’Allegato XXI del d.lgs. n. 81/2008, anche al corso di formazione previsto dall’art. 37, co. 7 del d.lgs. n. 81/2008 per i “preposti” (cfr. Interpello n.16/2015).</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341F89" w:rsidRPr="00A66E15"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u w:val="single"/>
          <w:lang w:eastAsia="it-IT"/>
        </w:rPr>
      </w:pPr>
      <w:r w:rsidRPr="00A66E15">
        <w:rPr>
          <w:rFonts w:ascii="Calibri" w:eastAsia="Times New Roman" w:hAnsi="Calibri" w:cs="Times New Roman"/>
          <w:sz w:val="28"/>
          <w:szCs w:val="28"/>
          <w:u w:val="single"/>
          <w:lang w:eastAsia="it-IT"/>
        </w:rPr>
        <w:t>Quesito n.3)</w:t>
      </w:r>
    </w:p>
    <w:p w:rsid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Sono regolari i ponteggi dotati di soli due impalcati a quota copertura (ponte di servizio e ponte di sicurezza), sia durante il loro uso che nella fase di montaggio e smontaggio?</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Risposta</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Ai sensi dell’art. 131, c.6 del </w:t>
      </w:r>
      <w:proofErr w:type="spellStart"/>
      <w:r w:rsidRPr="00341F89">
        <w:rPr>
          <w:rFonts w:ascii="Calibri" w:eastAsia="Times New Roman" w:hAnsi="Calibri" w:cs="Times New Roman"/>
          <w:sz w:val="28"/>
          <w:szCs w:val="28"/>
          <w:lang w:eastAsia="it-IT"/>
        </w:rPr>
        <w:t>D.Lgs.</w:t>
      </w:r>
      <w:proofErr w:type="spellEnd"/>
      <w:r w:rsidRPr="00341F89">
        <w:rPr>
          <w:rFonts w:ascii="Calibri" w:eastAsia="Times New Roman" w:hAnsi="Calibri" w:cs="Times New Roman"/>
          <w:sz w:val="28"/>
          <w:szCs w:val="28"/>
          <w:lang w:eastAsia="it-IT"/>
        </w:rPr>
        <w:t xml:space="preserve"> 81/08 e </w:t>
      </w:r>
      <w:proofErr w:type="spellStart"/>
      <w:r w:rsidRPr="00341F89">
        <w:rPr>
          <w:rFonts w:ascii="Calibri" w:eastAsia="Times New Roman" w:hAnsi="Calibri" w:cs="Times New Roman"/>
          <w:sz w:val="28"/>
          <w:szCs w:val="28"/>
          <w:lang w:eastAsia="it-IT"/>
        </w:rPr>
        <w:t>smi</w:t>
      </w:r>
      <w:proofErr w:type="spellEnd"/>
      <w:r w:rsidRPr="00341F89">
        <w:rPr>
          <w:rFonts w:ascii="Calibri" w:eastAsia="Times New Roman" w:hAnsi="Calibri" w:cs="Times New Roman"/>
          <w:sz w:val="28"/>
          <w:szCs w:val="28"/>
          <w:lang w:eastAsia="it-IT"/>
        </w:rPr>
        <w:t xml:space="preserve">, coloro che impiegano ponteggi devono farsi rilasciare dal fabbricante copia della autorizzazione alla costruzione ed all’impiego rilasciata dal Ministero del Lavoro, che ha contenuti minimi, tra i quali gli schemi funzionali, cioè l’insieme degli elementi strutturali e dei sistemi di protezione idonei a realizzare le condizioni necessarie per consentire in sicurezza le attività lavorative. Pertanto, è possibile verificare l’idoneità di un ponteggio dotato di solo due impalcati, esaminando gli “schemi tipo” riportati nell’Autorizzazione Ministeriale ed, eventualmente, quanto previsto nel progetto ex art. 133 del </w:t>
      </w:r>
      <w:proofErr w:type="spellStart"/>
      <w:r w:rsidRPr="00341F89">
        <w:rPr>
          <w:rFonts w:ascii="Calibri" w:eastAsia="Times New Roman" w:hAnsi="Calibri" w:cs="Times New Roman"/>
          <w:sz w:val="28"/>
          <w:szCs w:val="28"/>
          <w:lang w:eastAsia="it-IT"/>
        </w:rPr>
        <w:t>D.Lgs.</w:t>
      </w:r>
      <w:proofErr w:type="spellEnd"/>
      <w:r w:rsidRPr="00341F89">
        <w:rPr>
          <w:rFonts w:ascii="Calibri" w:eastAsia="Times New Roman" w:hAnsi="Calibri" w:cs="Times New Roman"/>
          <w:sz w:val="28"/>
          <w:szCs w:val="28"/>
          <w:lang w:eastAsia="it-IT"/>
        </w:rPr>
        <w:t xml:space="preserve"> 81/08 e </w:t>
      </w:r>
      <w:proofErr w:type="spellStart"/>
      <w:r w:rsidRPr="00341F89">
        <w:rPr>
          <w:rFonts w:ascii="Calibri" w:eastAsia="Times New Roman" w:hAnsi="Calibri" w:cs="Times New Roman"/>
          <w:sz w:val="28"/>
          <w:szCs w:val="28"/>
          <w:lang w:eastAsia="it-IT"/>
        </w:rPr>
        <w:t>smi</w:t>
      </w:r>
      <w:proofErr w:type="spellEnd"/>
      <w:r w:rsidRPr="00341F89">
        <w:rPr>
          <w:rFonts w:ascii="Calibri" w:eastAsia="Times New Roman" w:hAnsi="Calibri" w:cs="Times New Roman"/>
          <w:sz w:val="28"/>
          <w:szCs w:val="28"/>
          <w:lang w:eastAsia="it-IT"/>
        </w:rPr>
        <w:t>.</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Per quanto riguarda le fasi di montaggio sarà necessario verificare che le stesse possano avvenire in condizioni di sicurezza, esaminando gli elaborati contenuti sul </w:t>
      </w:r>
      <w:proofErr w:type="spellStart"/>
      <w:r w:rsidRPr="00341F89">
        <w:rPr>
          <w:rFonts w:ascii="Calibri" w:eastAsia="Times New Roman" w:hAnsi="Calibri" w:cs="Times New Roman"/>
          <w:sz w:val="28"/>
          <w:szCs w:val="28"/>
          <w:lang w:eastAsia="it-IT"/>
        </w:rPr>
        <w:t>PiMUS</w:t>
      </w:r>
      <w:proofErr w:type="spellEnd"/>
      <w:r w:rsidRPr="00341F89">
        <w:rPr>
          <w:rFonts w:ascii="Calibri" w:eastAsia="Times New Roman" w:hAnsi="Calibri" w:cs="Times New Roman"/>
          <w:sz w:val="28"/>
          <w:szCs w:val="28"/>
          <w:lang w:eastAsia="it-IT"/>
        </w:rPr>
        <w:t xml:space="preserve"> relativo allo specifico ponteggio.</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341F89" w:rsidRPr="00A66E15"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u w:val="single"/>
          <w:lang w:eastAsia="it-IT"/>
        </w:rPr>
      </w:pPr>
      <w:r w:rsidRPr="00A66E15">
        <w:rPr>
          <w:rFonts w:ascii="Calibri" w:eastAsia="Times New Roman" w:hAnsi="Calibri" w:cs="Times New Roman"/>
          <w:sz w:val="28"/>
          <w:szCs w:val="28"/>
          <w:u w:val="single"/>
          <w:lang w:eastAsia="it-IT"/>
        </w:rPr>
        <w:t>Quesito n.4)</w:t>
      </w:r>
    </w:p>
    <w:p w:rsid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E’ obbligatorio applicare la rete </w:t>
      </w:r>
      <w:proofErr w:type="spellStart"/>
      <w:r w:rsidRPr="00341F89">
        <w:rPr>
          <w:rFonts w:ascii="Calibri" w:eastAsia="Times New Roman" w:hAnsi="Calibri" w:cs="Times New Roman"/>
          <w:sz w:val="28"/>
          <w:szCs w:val="28"/>
          <w:lang w:eastAsia="it-IT"/>
        </w:rPr>
        <w:t>anticaduta</w:t>
      </w:r>
      <w:proofErr w:type="spellEnd"/>
      <w:r w:rsidRPr="00341F89">
        <w:rPr>
          <w:rFonts w:ascii="Calibri" w:eastAsia="Times New Roman" w:hAnsi="Calibri" w:cs="Times New Roman"/>
          <w:sz w:val="28"/>
          <w:szCs w:val="28"/>
          <w:lang w:eastAsia="it-IT"/>
        </w:rPr>
        <w:t xml:space="preserve"> ai ponteggi utilizzati quale DPC nell’effettuazione dei lavori in copertura?</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Risposta</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La circolare del Ministero del lavoro e delle politiche sociali n. 29/2010 ha chiarito la possibilità di impiegare i ponteggi come protezione collettiva per i lavoratori che svolgono la loro attività sulle coperture e quindi in posizione diversa dall’ultimo impalcato del ponteggio, “a condizione che per ogni singola realizzazione ed a seguito di adeguata valutazione dei rischi venga eseguito uno specifico progetto. Da tale progetto, eseguito nel rispetto del già citato articolo 133 e quindi firmato da </w:t>
      </w:r>
      <w:r w:rsidR="0024520A">
        <w:rPr>
          <w:rFonts w:ascii="Calibri" w:eastAsia="Times New Roman" w:hAnsi="Calibri" w:cs="Times New Roman"/>
          <w:sz w:val="28"/>
          <w:szCs w:val="28"/>
          <w:lang w:eastAsia="it-IT"/>
        </w:rPr>
        <w:t>professionista</w:t>
      </w:r>
      <w:bookmarkStart w:id="0" w:name="_GoBack"/>
      <w:bookmarkEnd w:id="0"/>
      <w:r w:rsidRPr="00341F89">
        <w:rPr>
          <w:rFonts w:ascii="Calibri" w:eastAsia="Times New Roman" w:hAnsi="Calibri" w:cs="Times New Roman"/>
          <w:sz w:val="28"/>
          <w:szCs w:val="28"/>
          <w:lang w:eastAsia="it-IT"/>
        </w:rPr>
        <w:t xml:space="preserve"> abilitato a norma di legge all’esercizio della professione, deve tra l’altro </w:t>
      </w:r>
      <w:r w:rsidRPr="00341F89">
        <w:rPr>
          <w:rFonts w:ascii="Calibri" w:eastAsia="Times New Roman" w:hAnsi="Calibri" w:cs="Times New Roman"/>
          <w:sz w:val="28"/>
          <w:szCs w:val="28"/>
          <w:lang w:eastAsia="it-IT"/>
        </w:rPr>
        <w:lastRenderedPageBreak/>
        <w:t>risultare quanto occorre per definire lo specifico schema di ponteggio nei riguardi dei carichi, delle sollecitazioni, del montaggio e dell’esecuzione, naturalmente tenendo conto della presenza di lavoratori che operano, oltre che sul ponteggio, anche in copertura.”.</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La valutazione dei requisiti geometrici e delle azioni da considerare in sede di progetto del ponteggio utilizzato anche con questo scopo non è cosa semplice ed è a discrezione del progettista in base alle specifiche caratteristiche del cantiere. </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La UNI EN 13374:2013, norma tecnica che riguarda i sistemi temporanei di protezione dei bordi è considerata in valido riferimento tecnico per il progettista del ponteggio, sia per quanto riguarda la geometria del parapetto di sommità con funzione di sistema di protezione dei bordi, sia per la valutazione delle azioni in gioco, sia soprattutto nel ritenere fondamentali le prove sperimentali per la valutazione dell’efficacia del dispositivo di protezione nei casi di caduta e/o scivolamento da una superficie inclinata. In questa norma sono previste diverse dimensioni delle aperture del parapetto, e che nella valutazione del rischio dovranno essere previste opportune opere di limitazione della luce di passaggio di un corpo in fase di scivolamento. Per questo fine è consentito l’utilizzo di reti di sicurezza certificate ai sensi della norma UNI EN 1263-1-2. </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Reti conformi alla citata norma di “tipo U” possono essere utilizzate come protezione intermedia, sostitutiva del corrente intermedio di parapetto. L’uso di tali reti costituisce, quindi, una possibile soluzione da valutare, ma non è obbligatorio. A questo proposito si rileva che nella pubblicazione INAIL del 2017 intitolata “I parapetti di sommità dei ponteggi”, tramite prove sperimentali è stata verificata la validità di parapetti anche privi di reti a norma UNI EN 1263-1-2, aventi protezioni continue, ad esempio formate da un telaio parapetto con rete in acciaio avente maglia 10x10 cm e spessore del filo 4 mm.</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A66E15">
        <w:rPr>
          <w:rFonts w:ascii="Calibri" w:eastAsia="Times New Roman" w:hAnsi="Calibri" w:cs="Times New Roman"/>
          <w:sz w:val="28"/>
          <w:szCs w:val="28"/>
          <w:u w:val="single"/>
          <w:lang w:eastAsia="it-IT"/>
        </w:rPr>
        <w:t xml:space="preserve">Quesito </w:t>
      </w:r>
      <w:r w:rsidR="00A66E15" w:rsidRPr="00A66E15">
        <w:rPr>
          <w:rFonts w:ascii="Calibri" w:eastAsia="Times New Roman" w:hAnsi="Calibri" w:cs="Times New Roman"/>
          <w:sz w:val="28"/>
          <w:szCs w:val="28"/>
          <w:u w:val="single"/>
          <w:lang w:eastAsia="it-IT"/>
        </w:rPr>
        <w:t>n.5</w:t>
      </w:r>
      <w:r w:rsidR="00A66E15">
        <w:rPr>
          <w:rFonts w:ascii="Calibri" w:eastAsia="Times New Roman" w:hAnsi="Calibri" w:cs="Times New Roman"/>
          <w:sz w:val="28"/>
          <w:szCs w:val="28"/>
          <w:lang w:eastAsia="it-IT"/>
        </w:rPr>
        <w:t xml:space="preserve"> (</w:t>
      </w:r>
      <w:r w:rsidRPr="00341F89">
        <w:rPr>
          <w:rFonts w:ascii="Calibri" w:eastAsia="Times New Roman" w:hAnsi="Calibri" w:cs="Times New Roman"/>
          <w:sz w:val="28"/>
          <w:szCs w:val="28"/>
          <w:lang w:eastAsia="it-IT"/>
        </w:rPr>
        <w:t xml:space="preserve">aggiuntivo </w:t>
      </w:r>
      <w:r w:rsidR="00224C7F">
        <w:rPr>
          <w:rFonts w:ascii="Calibri" w:eastAsia="Times New Roman" w:hAnsi="Calibri" w:cs="Times New Roman"/>
          <w:sz w:val="28"/>
          <w:szCs w:val="28"/>
          <w:lang w:eastAsia="it-IT"/>
        </w:rPr>
        <w:t xml:space="preserve">proposto, </w:t>
      </w:r>
      <w:r w:rsidRPr="00341F89">
        <w:rPr>
          <w:rFonts w:ascii="Calibri" w:eastAsia="Times New Roman" w:hAnsi="Calibri" w:cs="Times New Roman"/>
          <w:sz w:val="28"/>
          <w:szCs w:val="28"/>
          <w:lang w:eastAsia="it-IT"/>
        </w:rPr>
        <w:t>fuori</w:t>
      </w:r>
      <w:r w:rsidR="00A66E15">
        <w:rPr>
          <w:rFonts w:ascii="Calibri" w:eastAsia="Times New Roman" w:hAnsi="Calibri" w:cs="Times New Roman"/>
          <w:sz w:val="28"/>
          <w:szCs w:val="28"/>
          <w:lang w:eastAsia="it-IT"/>
        </w:rPr>
        <w:t xml:space="preserve"> dal tema “lavori in quota”</w:t>
      </w:r>
      <w:r w:rsidRPr="00341F89">
        <w:rPr>
          <w:rFonts w:ascii="Calibri" w:eastAsia="Times New Roman" w:hAnsi="Calibri" w:cs="Times New Roman"/>
          <w:sz w:val="28"/>
          <w:szCs w:val="28"/>
          <w:lang w:eastAsia="it-IT"/>
        </w:rPr>
        <w:t>)</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Al fine della verifica dell’idoneità dei Piani Operativi di Sicurezza, il coordinatore per la sicurezza in fase di esecuzione deve vedere materialmente la “documentazione in merito all’informazione ed alla formazione effettuata dai lavoratori occupati in cantiere” (attestati di formazione, i patentini, ecc.), quali parte integrante dello stesso POS, o è sufficiente che si faccia rilasciare una dichiarazione del Datore di Lavoro nella quale è indicata l’attività formativa effettuata dai lavoratori? </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Risposta</w:t>
      </w:r>
    </w:p>
    <w:p w:rsidR="00341F89" w:rsidRPr="00341F89" w:rsidRDefault="00341F89" w:rsidP="00341F89">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341F89">
        <w:rPr>
          <w:rFonts w:ascii="Calibri" w:eastAsia="Times New Roman" w:hAnsi="Calibri" w:cs="Times New Roman"/>
          <w:sz w:val="28"/>
          <w:szCs w:val="28"/>
          <w:lang w:eastAsia="it-IT"/>
        </w:rPr>
        <w:t xml:space="preserve">L’art. 92, c.1, </w:t>
      </w:r>
      <w:proofErr w:type="spellStart"/>
      <w:r w:rsidRPr="00341F89">
        <w:rPr>
          <w:rFonts w:ascii="Calibri" w:eastAsia="Times New Roman" w:hAnsi="Calibri" w:cs="Times New Roman"/>
          <w:sz w:val="28"/>
          <w:szCs w:val="28"/>
          <w:lang w:eastAsia="it-IT"/>
        </w:rPr>
        <w:t>lett</w:t>
      </w:r>
      <w:proofErr w:type="spellEnd"/>
      <w:r w:rsidRPr="00341F89">
        <w:rPr>
          <w:rFonts w:ascii="Calibri" w:eastAsia="Times New Roman" w:hAnsi="Calibri" w:cs="Times New Roman"/>
          <w:sz w:val="28"/>
          <w:szCs w:val="28"/>
          <w:lang w:eastAsia="it-IT"/>
        </w:rPr>
        <w:t xml:space="preserve">. b) del </w:t>
      </w:r>
      <w:proofErr w:type="spellStart"/>
      <w:r w:rsidRPr="00341F89">
        <w:rPr>
          <w:rFonts w:ascii="Calibri" w:eastAsia="Times New Roman" w:hAnsi="Calibri" w:cs="Times New Roman"/>
          <w:sz w:val="28"/>
          <w:szCs w:val="28"/>
          <w:lang w:eastAsia="it-IT"/>
        </w:rPr>
        <w:t>D.Lgs.</w:t>
      </w:r>
      <w:proofErr w:type="spellEnd"/>
      <w:r w:rsidRPr="00341F89">
        <w:rPr>
          <w:rFonts w:ascii="Calibri" w:eastAsia="Times New Roman" w:hAnsi="Calibri" w:cs="Times New Roman"/>
          <w:sz w:val="28"/>
          <w:szCs w:val="28"/>
          <w:lang w:eastAsia="it-IT"/>
        </w:rPr>
        <w:t xml:space="preserve"> 81/08 e </w:t>
      </w:r>
      <w:proofErr w:type="spellStart"/>
      <w:r w:rsidRPr="00341F89">
        <w:rPr>
          <w:rFonts w:ascii="Calibri" w:eastAsia="Times New Roman" w:hAnsi="Calibri" w:cs="Times New Roman"/>
          <w:sz w:val="28"/>
          <w:szCs w:val="28"/>
          <w:lang w:eastAsia="it-IT"/>
        </w:rPr>
        <w:t>smi</w:t>
      </w:r>
      <w:proofErr w:type="spellEnd"/>
      <w:r w:rsidRPr="00341F89">
        <w:rPr>
          <w:rFonts w:ascii="Calibri" w:eastAsia="Times New Roman" w:hAnsi="Calibri" w:cs="Times New Roman"/>
          <w:sz w:val="28"/>
          <w:szCs w:val="28"/>
          <w:lang w:eastAsia="it-IT"/>
        </w:rPr>
        <w:t xml:space="preserve">, stabilisce che il CSE “verifica l’idoneità del piano operativo di sicurezza, da considerare come piano complementare di dettaglio del piano di sicurezza e coordinamento…”, i cui contenuti minimi sono riportati nell’Allegato XV dello stesso </w:t>
      </w:r>
      <w:proofErr w:type="spellStart"/>
      <w:r w:rsidRPr="00341F89">
        <w:rPr>
          <w:rFonts w:ascii="Calibri" w:eastAsia="Times New Roman" w:hAnsi="Calibri" w:cs="Times New Roman"/>
          <w:sz w:val="28"/>
          <w:szCs w:val="28"/>
          <w:lang w:eastAsia="it-IT"/>
        </w:rPr>
        <w:t>D.Lgs.</w:t>
      </w:r>
      <w:proofErr w:type="spellEnd"/>
      <w:r w:rsidRPr="00341F89">
        <w:rPr>
          <w:rFonts w:ascii="Calibri" w:eastAsia="Times New Roman" w:hAnsi="Calibri" w:cs="Times New Roman"/>
          <w:sz w:val="28"/>
          <w:szCs w:val="28"/>
          <w:lang w:eastAsia="it-IT"/>
        </w:rPr>
        <w:t xml:space="preserve"> 81/08. Tra i citati contenuti minimi vi è “la documentazione in merito all’informazione ed alla formazione fornite ai lavoratori occupati in cantiere” (cfr. punto 3.2.1. </w:t>
      </w:r>
      <w:proofErr w:type="spellStart"/>
      <w:r w:rsidRPr="00341F89">
        <w:rPr>
          <w:rFonts w:ascii="Calibri" w:eastAsia="Times New Roman" w:hAnsi="Calibri" w:cs="Times New Roman"/>
          <w:sz w:val="28"/>
          <w:szCs w:val="28"/>
          <w:lang w:eastAsia="it-IT"/>
        </w:rPr>
        <w:t>lett</w:t>
      </w:r>
      <w:proofErr w:type="spellEnd"/>
      <w:r w:rsidRPr="00341F89">
        <w:rPr>
          <w:rFonts w:ascii="Calibri" w:eastAsia="Times New Roman" w:hAnsi="Calibri" w:cs="Times New Roman"/>
          <w:sz w:val="28"/>
          <w:szCs w:val="28"/>
          <w:lang w:eastAsia="it-IT"/>
        </w:rPr>
        <w:t xml:space="preserve">. l) dell’Allegato XV). Si ritiene che, al fine della suddetta verifica d’idoneità del POS, il coordinatore non debba necessariamente acquisire copia degli attestati di formazione e informazione dei lavoratori, ma che si possa limitare ad acquisire una dichiarazione del datore di lavoro dettagliata </w:t>
      </w:r>
      <w:r w:rsidRPr="00341F89">
        <w:rPr>
          <w:rFonts w:ascii="Calibri" w:eastAsia="Times New Roman" w:hAnsi="Calibri" w:cs="Times New Roman"/>
          <w:sz w:val="28"/>
          <w:szCs w:val="28"/>
          <w:lang w:eastAsia="it-IT"/>
        </w:rPr>
        <w:lastRenderedPageBreak/>
        <w:t>sull’attività formativa/informativa ricevuta dai lavoratori, anche all’interno dello stesso POS. A conferma di tale affermazione, si rileva che nel modello semplificato di Piano Operativo di Sicurezza, contenuto del D.I. 9 settembre 2014 “Modelli semplificati per la redazione del piano operativo di sicurezza (POS), del piano di sicurezza e di coordinamento (PSC) e del fascicolo dell’opera (FO) nonché del piano di sicurezza sostitutivo (PSS)”, in riferimento al contenuto in parola, viene esclusivamente richiesto al Datore di Lavoro di “Specificare per ciascun lavoratore l’informazione, la formazione e l’addestramento ricevuti”, permettendo che i relativi attestati possano non essere allegati ma rimanere “a disposizione presso la sede dell’impresa”.</w:t>
      </w:r>
    </w:p>
    <w:p w:rsidR="00973EA9" w:rsidRDefault="00973EA9"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973EA9" w:rsidRDefault="00D12BC3"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Infine, è stato proposto di </w:t>
      </w:r>
      <w:r w:rsidR="003A76E2">
        <w:rPr>
          <w:rFonts w:ascii="Calibri" w:eastAsia="Times New Roman" w:hAnsi="Calibri" w:cs="Times New Roman"/>
          <w:sz w:val="28"/>
          <w:szCs w:val="28"/>
          <w:lang w:eastAsia="it-IT"/>
        </w:rPr>
        <w:t>fissa</w:t>
      </w:r>
      <w:r>
        <w:rPr>
          <w:rFonts w:ascii="Calibri" w:eastAsia="Times New Roman" w:hAnsi="Calibri" w:cs="Times New Roman"/>
          <w:sz w:val="28"/>
          <w:szCs w:val="28"/>
          <w:lang w:eastAsia="it-IT"/>
        </w:rPr>
        <w:t>re</w:t>
      </w:r>
      <w:r w:rsidR="00973EA9">
        <w:rPr>
          <w:rFonts w:ascii="Calibri" w:eastAsia="Times New Roman" w:hAnsi="Calibri" w:cs="Times New Roman"/>
          <w:sz w:val="28"/>
          <w:szCs w:val="28"/>
          <w:lang w:eastAsia="it-IT"/>
        </w:rPr>
        <w:t xml:space="preserve"> </w:t>
      </w:r>
      <w:r w:rsidR="003379F3">
        <w:rPr>
          <w:rFonts w:ascii="Calibri" w:eastAsia="Times New Roman" w:hAnsi="Calibri" w:cs="Times New Roman"/>
          <w:sz w:val="28"/>
          <w:szCs w:val="28"/>
          <w:lang w:eastAsia="it-IT"/>
        </w:rPr>
        <w:t xml:space="preserve">il </w:t>
      </w:r>
      <w:r w:rsidR="003379F3" w:rsidRPr="00940CF4">
        <w:rPr>
          <w:rFonts w:ascii="Calibri" w:eastAsia="Times New Roman" w:hAnsi="Calibri" w:cs="Times New Roman"/>
          <w:sz w:val="28"/>
          <w:szCs w:val="28"/>
          <w:lang w:eastAsia="it-IT"/>
        </w:rPr>
        <w:t xml:space="preserve">giorno </w:t>
      </w:r>
      <w:r w:rsidR="009C6039">
        <w:rPr>
          <w:rFonts w:ascii="Calibri" w:eastAsia="Times New Roman" w:hAnsi="Calibri" w:cs="Times New Roman"/>
          <w:sz w:val="28"/>
          <w:szCs w:val="28"/>
          <w:lang w:eastAsia="it-IT"/>
        </w:rPr>
        <w:t>17 Febbraio</w:t>
      </w:r>
      <w:r w:rsidR="003379F3">
        <w:rPr>
          <w:rFonts w:ascii="Calibri" w:eastAsia="Times New Roman" w:hAnsi="Calibri" w:cs="Times New Roman"/>
          <w:sz w:val="28"/>
          <w:szCs w:val="28"/>
          <w:lang w:eastAsia="it-IT"/>
        </w:rPr>
        <w:t>, quale</w:t>
      </w:r>
      <w:r w:rsidR="00973EA9">
        <w:rPr>
          <w:rFonts w:ascii="Calibri" w:eastAsia="Times New Roman" w:hAnsi="Calibri" w:cs="Times New Roman"/>
          <w:sz w:val="28"/>
          <w:szCs w:val="28"/>
          <w:lang w:eastAsia="it-IT"/>
        </w:rPr>
        <w:t xml:space="preserve"> data per i</w:t>
      </w:r>
      <w:r w:rsidR="00940CF4" w:rsidRPr="00940CF4">
        <w:rPr>
          <w:rFonts w:ascii="Calibri" w:eastAsia="Times New Roman" w:hAnsi="Calibri" w:cs="Times New Roman"/>
          <w:sz w:val="28"/>
          <w:szCs w:val="28"/>
          <w:lang w:eastAsia="it-IT"/>
        </w:rPr>
        <w:t>l prossimo incontro</w:t>
      </w:r>
      <w:r>
        <w:rPr>
          <w:rFonts w:ascii="Calibri" w:eastAsia="Times New Roman" w:hAnsi="Calibri" w:cs="Times New Roman"/>
          <w:sz w:val="28"/>
          <w:szCs w:val="28"/>
          <w:lang w:eastAsia="it-IT"/>
        </w:rPr>
        <w:t xml:space="preserve"> del TT. La data </w:t>
      </w:r>
      <w:r w:rsidR="00940CF4" w:rsidRPr="00940CF4">
        <w:rPr>
          <w:rFonts w:ascii="Calibri" w:eastAsia="Times New Roman" w:hAnsi="Calibri" w:cs="Times New Roman"/>
          <w:sz w:val="28"/>
          <w:szCs w:val="28"/>
          <w:lang w:eastAsia="it-IT"/>
        </w:rPr>
        <w:t>verrà comunque confermat</w:t>
      </w:r>
      <w:r>
        <w:rPr>
          <w:rFonts w:ascii="Calibri" w:eastAsia="Times New Roman" w:hAnsi="Calibri" w:cs="Times New Roman"/>
          <w:sz w:val="28"/>
          <w:szCs w:val="28"/>
          <w:lang w:eastAsia="it-IT"/>
        </w:rPr>
        <w:t>a</w:t>
      </w:r>
      <w:r w:rsidR="00940CF4" w:rsidRPr="00940CF4">
        <w:rPr>
          <w:rFonts w:ascii="Calibri" w:eastAsia="Times New Roman" w:hAnsi="Calibri" w:cs="Times New Roman"/>
          <w:sz w:val="28"/>
          <w:szCs w:val="28"/>
          <w:lang w:eastAsia="it-IT"/>
        </w:rPr>
        <w:t xml:space="preserve"> nella prima settimana di Dicembre</w:t>
      </w:r>
      <w:r w:rsidR="00973EA9">
        <w:rPr>
          <w:rFonts w:ascii="Calibri" w:eastAsia="Times New Roman" w:hAnsi="Calibri" w:cs="Times New Roman"/>
          <w:sz w:val="28"/>
          <w:szCs w:val="28"/>
          <w:lang w:eastAsia="it-IT"/>
        </w:rPr>
        <w:t xml:space="preserve">. </w:t>
      </w:r>
    </w:p>
    <w:p w:rsidR="009C6039" w:rsidRDefault="00973EA9"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Durante </w:t>
      </w:r>
      <w:r w:rsidR="00D12BC3">
        <w:rPr>
          <w:rFonts w:ascii="Calibri" w:eastAsia="Times New Roman" w:hAnsi="Calibri" w:cs="Times New Roman"/>
          <w:sz w:val="28"/>
          <w:szCs w:val="28"/>
          <w:lang w:eastAsia="it-IT"/>
        </w:rPr>
        <w:t>i</w:t>
      </w:r>
      <w:r>
        <w:rPr>
          <w:rFonts w:ascii="Calibri" w:eastAsia="Times New Roman" w:hAnsi="Calibri" w:cs="Times New Roman"/>
          <w:sz w:val="28"/>
          <w:szCs w:val="28"/>
          <w:lang w:eastAsia="it-IT"/>
        </w:rPr>
        <w:t>l</w:t>
      </w:r>
      <w:r w:rsidR="00D12BC3">
        <w:rPr>
          <w:rFonts w:ascii="Calibri" w:eastAsia="Times New Roman" w:hAnsi="Calibri" w:cs="Times New Roman"/>
          <w:sz w:val="28"/>
          <w:szCs w:val="28"/>
          <w:lang w:eastAsia="it-IT"/>
        </w:rPr>
        <w:t xml:space="preserve"> prossimo incontr</w:t>
      </w:r>
      <w:r>
        <w:rPr>
          <w:rFonts w:ascii="Calibri" w:eastAsia="Times New Roman" w:hAnsi="Calibri" w:cs="Times New Roman"/>
          <w:sz w:val="28"/>
          <w:szCs w:val="28"/>
          <w:lang w:eastAsia="it-IT"/>
        </w:rPr>
        <w:t xml:space="preserve">o, </w:t>
      </w:r>
      <w:r w:rsidR="009C6039">
        <w:rPr>
          <w:rFonts w:ascii="Calibri" w:eastAsia="Times New Roman" w:hAnsi="Calibri" w:cs="Times New Roman"/>
          <w:sz w:val="28"/>
          <w:szCs w:val="28"/>
          <w:lang w:eastAsia="it-IT"/>
        </w:rPr>
        <w:t>al quale verranno invitati a partecipare anche i rappresentanti delle associazioni più rappresentative degli Amministratori di Condominio, verrà brevemente ripreso l’argomento “lavori in quota” e si affronterà l’argomento “impianti di cantiere</w:t>
      </w:r>
      <w:r w:rsidR="00A66E15">
        <w:rPr>
          <w:rFonts w:ascii="Calibri" w:eastAsia="Times New Roman" w:hAnsi="Calibri" w:cs="Times New Roman"/>
          <w:sz w:val="28"/>
          <w:szCs w:val="28"/>
          <w:lang w:eastAsia="it-IT"/>
        </w:rPr>
        <w:t>”</w:t>
      </w:r>
      <w:r w:rsidR="009C6039">
        <w:rPr>
          <w:rFonts w:ascii="Calibri" w:eastAsia="Times New Roman" w:hAnsi="Calibri" w:cs="Times New Roman"/>
          <w:sz w:val="28"/>
          <w:szCs w:val="28"/>
          <w:lang w:eastAsia="it-IT"/>
        </w:rPr>
        <w:t>, dando spazio anche ai quesiti che saranno nel frattempo pervenuti.</w:t>
      </w:r>
    </w:p>
    <w:p w:rsidR="00940CF4" w:rsidRPr="00940CF4" w:rsidRDefault="009C6039"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 Si esamineranno anche le eventuali proposte avanzate dai partecipanti circa il </w:t>
      </w:r>
      <w:r w:rsidR="00940CF4" w:rsidRPr="00940CF4">
        <w:rPr>
          <w:rFonts w:ascii="Calibri" w:eastAsia="Times New Roman" w:hAnsi="Calibri" w:cs="Times New Roman"/>
          <w:sz w:val="28"/>
          <w:szCs w:val="28"/>
          <w:lang w:eastAsia="it-IT"/>
        </w:rPr>
        <w:t xml:space="preserve">“fascicolo informativo” </w:t>
      </w:r>
      <w:r w:rsidR="00FA484B">
        <w:rPr>
          <w:rFonts w:ascii="Calibri" w:eastAsia="Times New Roman" w:hAnsi="Calibri" w:cs="Times New Roman"/>
          <w:sz w:val="28"/>
          <w:szCs w:val="28"/>
          <w:lang w:eastAsia="it-IT"/>
        </w:rPr>
        <w:t xml:space="preserve">contenente </w:t>
      </w:r>
      <w:r w:rsidR="00973EA9">
        <w:rPr>
          <w:rFonts w:ascii="Calibri" w:eastAsia="Times New Roman" w:hAnsi="Calibri" w:cs="Times New Roman"/>
          <w:sz w:val="28"/>
          <w:szCs w:val="28"/>
          <w:lang w:eastAsia="it-IT"/>
        </w:rPr>
        <w:t xml:space="preserve">gli adempimenti e </w:t>
      </w:r>
      <w:r w:rsidR="00FA484B">
        <w:rPr>
          <w:rFonts w:ascii="Calibri" w:eastAsia="Times New Roman" w:hAnsi="Calibri" w:cs="Times New Roman"/>
          <w:sz w:val="28"/>
          <w:szCs w:val="28"/>
          <w:lang w:eastAsia="it-IT"/>
        </w:rPr>
        <w:t xml:space="preserve">le </w:t>
      </w:r>
      <w:r w:rsidR="00973EA9">
        <w:rPr>
          <w:rFonts w:ascii="Calibri" w:eastAsia="Times New Roman" w:hAnsi="Calibri" w:cs="Times New Roman"/>
          <w:sz w:val="28"/>
          <w:szCs w:val="28"/>
          <w:lang w:eastAsia="it-IT"/>
        </w:rPr>
        <w:t xml:space="preserve">responsabilità dei committente </w:t>
      </w:r>
      <w:r w:rsidR="00D12BC3">
        <w:rPr>
          <w:rFonts w:ascii="Calibri" w:eastAsia="Times New Roman" w:hAnsi="Calibri" w:cs="Times New Roman"/>
          <w:sz w:val="28"/>
          <w:szCs w:val="28"/>
          <w:lang w:eastAsia="it-IT"/>
        </w:rPr>
        <w:t>n</w:t>
      </w:r>
      <w:r w:rsidR="00940CF4" w:rsidRPr="00940CF4">
        <w:rPr>
          <w:rFonts w:ascii="Calibri" w:eastAsia="Times New Roman" w:hAnsi="Calibri" w:cs="Times New Roman"/>
          <w:sz w:val="28"/>
          <w:szCs w:val="28"/>
          <w:lang w:eastAsia="it-IT"/>
        </w:rPr>
        <w:t>ei lavori privati.</w:t>
      </w:r>
    </w:p>
    <w:p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L’incontro, iniziato alle ore 9,00 si conclude alle ore 12</w:t>
      </w:r>
      <w:r w:rsidR="009C6039">
        <w:rPr>
          <w:rFonts w:ascii="Calibri" w:eastAsia="Times New Roman" w:hAnsi="Calibri" w:cs="Times New Roman"/>
          <w:sz w:val="28"/>
          <w:szCs w:val="28"/>
          <w:lang w:eastAsia="it-IT"/>
        </w:rPr>
        <w:t>,30</w:t>
      </w:r>
      <w:r w:rsidRPr="00940CF4">
        <w:rPr>
          <w:rFonts w:ascii="Calibri" w:eastAsia="Times New Roman" w:hAnsi="Calibri" w:cs="Times New Roman"/>
          <w:sz w:val="28"/>
          <w:szCs w:val="28"/>
          <w:lang w:eastAsia="it-IT"/>
        </w:rPr>
        <w:t>.</w:t>
      </w:r>
    </w:p>
    <w:p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Il Verbalizzante</w:t>
      </w:r>
    </w:p>
    <w:p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proofErr w:type="spellStart"/>
      <w:r w:rsidRPr="00940CF4">
        <w:rPr>
          <w:rFonts w:ascii="Calibri" w:eastAsia="Times New Roman" w:hAnsi="Calibri" w:cs="Times New Roman"/>
          <w:sz w:val="28"/>
          <w:szCs w:val="28"/>
          <w:lang w:eastAsia="it-IT"/>
        </w:rPr>
        <w:t>Resp</w:t>
      </w:r>
      <w:proofErr w:type="spellEnd"/>
      <w:r w:rsidRPr="00940CF4">
        <w:rPr>
          <w:rFonts w:ascii="Calibri" w:eastAsia="Times New Roman" w:hAnsi="Calibri" w:cs="Times New Roman"/>
          <w:sz w:val="28"/>
          <w:szCs w:val="28"/>
          <w:lang w:eastAsia="it-IT"/>
        </w:rPr>
        <w:t>. Area Sicurezza S.E.I.-C.P.T.</w:t>
      </w:r>
    </w:p>
    <w:p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 xml:space="preserve">Ing. Paola </w:t>
      </w:r>
      <w:proofErr w:type="spellStart"/>
      <w:r w:rsidRPr="00940CF4">
        <w:rPr>
          <w:rFonts w:ascii="Calibri" w:eastAsia="Times New Roman" w:hAnsi="Calibri" w:cs="Times New Roman"/>
          <w:sz w:val="28"/>
          <w:szCs w:val="28"/>
          <w:lang w:eastAsia="it-IT"/>
        </w:rPr>
        <w:t>Fognini</w:t>
      </w:r>
      <w:proofErr w:type="spellEnd"/>
    </w:p>
    <w:p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p>
    <w:p w:rsidR="00A13853" w:rsidRPr="00940CF4" w:rsidRDefault="00A13853" w:rsidP="00940CF4">
      <w:pPr>
        <w:tabs>
          <w:tab w:val="center" w:pos="4819"/>
          <w:tab w:val="right" w:pos="9638"/>
        </w:tabs>
        <w:spacing w:after="0" w:line="240" w:lineRule="auto"/>
        <w:ind w:right="283"/>
        <w:jc w:val="center"/>
        <w:rPr>
          <w:rFonts w:ascii="Calibri" w:eastAsia="Times New Roman" w:hAnsi="Calibri" w:cs="Times New Roman"/>
          <w:color w:val="FF0000"/>
          <w:sz w:val="28"/>
          <w:szCs w:val="28"/>
          <w:lang w:eastAsia="it-IT"/>
        </w:rPr>
      </w:pPr>
      <w:r w:rsidRPr="00940CF4">
        <w:rPr>
          <w:rFonts w:ascii="Calibri" w:eastAsia="Times New Roman" w:hAnsi="Calibri" w:cs="Times New Roman"/>
          <w:sz w:val="28"/>
          <w:szCs w:val="28"/>
          <w:lang w:eastAsia="it-IT"/>
        </w:rPr>
        <w:t>__________________</w:t>
      </w:r>
    </w:p>
    <w:sectPr w:rsidR="00A13853" w:rsidRPr="00940CF4" w:rsidSect="00A138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80A"/>
    <w:multiLevelType w:val="hybridMultilevel"/>
    <w:tmpl w:val="70669456"/>
    <w:lvl w:ilvl="0" w:tplc="35F09E5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C04230"/>
    <w:multiLevelType w:val="hybridMultilevel"/>
    <w:tmpl w:val="B7746C38"/>
    <w:lvl w:ilvl="0" w:tplc="35F09E5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E12A44"/>
    <w:multiLevelType w:val="hybridMultilevel"/>
    <w:tmpl w:val="E448394C"/>
    <w:lvl w:ilvl="0" w:tplc="1AFA40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53"/>
    <w:rsid w:val="00005AA9"/>
    <w:rsid w:val="00046EC6"/>
    <w:rsid w:val="00054F7D"/>
    <w:rsid w:val="00074866"/>
    <w:rsid w:val="000B6F21"/>
    <w:rsid w:val="000D2FDC"/>
    <w:rsid w:val="001276F5"/>
    <w:rsid w:val="001A4F98"/>
    <w:rsid w:val="001F72EC"/>
    <w:rsid w:val="00220953"/>
    <w:rsid w:val="00224C7F"/>
    <w:rsid w:val="0023549E"/>
    <w:rsid w:val="0024520A"/>
    <w:rsid w:val="0029380D"/>
    <w:rsid w:val="002C2789"/>
    <w:rsid w:val="002D4097"/>
    <w:rsid w:val="002E7BC4"/>
    <w:rsid w:val="003379F3"/>
    <w:rsid w:val="00337B64"/>
    <w:rsid w:val="00341F89"/>
    <w:rsid w:val="003A76E2"/>
    <w:rsid w:val="00524C3F"/>
    <w:rsid w:val="005D1835"/>
    <w:rsid w:val="005F7C3C"/>
    <w:rsid w:val="00625AF1"/>
    <w:rsid w:val="006458B3"/>
    <w:rsid w:val="006C179D"/>
    <w:rsid w:val="006D63A7"/>
    <w:rsid w:val="00743961"/>
    <w:rsid w:val="008467E8"/>
    <w:rsid w:val="00940CF4"/>
    <w:rsid w:val="00963275"/>
    <w:rsid w:val="0096703D"/>
    <w:rsid w:val="00973EA9"/>
    <w:rsid w:val="009C6039"/>
    <w:rsid w:val="009E180F"/>
    <w:rsid w:val="00A10266"/>
    <w:rsid w:val="00A13853"/>
    <w:rsid w:val="00A66E15"/>
    <w:rsid w:val="00AA2A6F"/>
    <w:rsid w:val="00B263F5"/>
    <w:rsid w:val="00B713B5"/>
    <w:rsid w:val="00BB54B0"/>
    <w:rsid w:val="00BC6F2A"/>
    <w:rsid w:val="00BE013D"/>
    <w:rsid w:val="00BF17F8"/>
    <w:rsid w:val="00CA5A4D"/>
    <w:rsid w:val="00D12BC3"/>
    <w:rsid w:val="00E160C7"/>
    <w:rsid w:val="00E83A3F"/>
    <w:rsid w:val="00EB4208"/>
    <w:rsid w:val="00EE28D4"/>
    <w:rsid w:val="00F25209"/>
    <w:rsid w:val="00F4020E"/>
    <w:rsid w:val="00FA48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2037"/>
  <w15:chartTrackingRefBased/>
  <w15:docId w15:val="{DA66DAF1-87A8-4E1E-B95D-5550808A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13853"/>
    <w:pPr>
      <w:tabs>
        <w:tab w:val="center" w:pos="4819"/>
        <w:tab w:val="right" w:pos="9638"/>
      </w:tabs>
      <w:spacing w:after="0" w:line="240" w:lineRule="auto"/>
    </w:pPr>
    <w:rPr>
      <w:rFonts w:ascii="Cambria" w:eastAsia="Times New Roman" w:hAnsi="Cambria" w:cs="Times New Roman"/>
      <w:sz w:val="24"/>
      <w:szCs w:val="24"/>
      <w:lang w:eastAsia="it-IT"/>
    </w:rPr>
  </w:style>
  <w:style w:type="character" w:customStyle="1" w:styleId="IntestazioneCarattere">
    <w:name w:val="Intestazione Carattere"/>
    <w:basedOn w:val="Carpredefinitoparagrafo"/>
    <w:link w:val="Intestazione"/>
    <w:rsid w:val="00A13853"/>
    <w:rPr>
      <w:rFonts w:ascii="Cambria" w:eastAsia="Times New Roman" w:hAnsi="Cambria" w:cs="Times New Roman"/>
      <w:sz w:val="24"/>
      <w:szCs w:val="24"/>
      <w:lang w:eastAsia="it-IT"/>
    </w:rPr>
  </w:style>
  <w:style w:type="paragraph" w:styleId="Paragrafoelenco">
    <w:name w:val="List Paragraph"/>
    <w:basedOn w:val="Normale"/>
    <w:uiPriority w:val="34"/>
    <w:qFormat/>
    <w:rsid w:val="002E7BC4"/>
    <w:pPr>
      <w:ind w:left="720"/>
      <w:contextualSpacing/>
    </w:pPr>
  </w:style>
  <w:style w:type="paragraph" w:styleId="Testofumetto">
    <w:name w:val="Balloon Text"/>
    <w:basedOn w:val="Normale"/>
    <w:link w:val="TestofumettoCarattere"/>
    <w:uiPriority w:val="99"/>
    <w:semiHidden/>
    <w:unhideWhenUsed/>
    <w:rsid w:val="009670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7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253508">
      <w:bodyDiv w:val="1"/>
      <w:marLeft w:val="0"/>
      <w:marRight w:val="0"/>
      <w:marTop w:val="0"/>
      <w:marBottom w:val="0"/>
      <w:divBdr>
        <w:top w:val="none" w:sz="0" w:space="0" w:color="auto"/>
        <w:left w:val="none" w:sz="0" w:space="0" w:color="auto"/>
        <w:bottom w:val="none" w:sz="0" w:space="0" w:color="auto"/>
        <w:right w:val="none" w:sz="0" w:space="0" w:color="auto"/>
      </w:divBdr>
      <w:divsChild>
        <w:div w:id="893082523">
          <w:marLeft w:val="0"/>
          <w:marRight w:val="0"/>
          <w:marTop w:val="0"/>
          <w:marBottom w:val="0"/>
          <w:divBdr>
            <w:top w:val="none" w:sz="0" w:space="0" w:color="auto"/>
            <w:left w:val="none" w:sz="0" w:space="0" w:color="auto"/>
            <w:bottom w:val="none" w:sz="0" w:space="0" w:color="auto"/>
            <w:right w:val="none" w:sz="0" w:space="0" w:color="auto"/>
          </w:divBdr>
          <w:divsChild>
            <w:div w:id="23950075">
              <w:marLeft w:val="0"/>
              <w:marRight w:val="0"/>
              <w:marTop w:val="0"/>
              <w:marBottom w:val="0"/>
              <w:divBdr>
                <w:top w:val="none" w:sz="0" w:space="0" w:color="auto"/>
                <w:left w:val="none" w:sz="0" w:space="0" w:color="auto"/>
                <w:bottom w:val="none" w:sz="0" w:space="0" w:color="auto"/>
                <w:right w:val="none" w:sz="0" w:space="0" w:color="auto"/>
              </w:divBdr>
              <w:divsChild>
                <w:div w:id="516579928">
                  <w:marLeft w:val="0"/>
                  <w:marRight w:val="0"/>
                  <w:marTop w:val="0"/>
                  <w:marBottom w:val="0"/>
                  <w:divBdr>
                    <w:top w:val="none" w:sz="0" w:space="0" w:color="auto"/>
                    <w:left w:val="none" w:sz="0" w:space="0" w:color="auto"/>
                    <w:bottom w:val="none" w:sz="0" w:space="0" w:color="auto"/>
                    <w:right w:val="none" w:sz="0" w:space="0" w:color="auto"/>
                  </w:divBdr>
                  <w:divsChild>
                    <w:div w:id="236986975">
                      <w:marLeft w:val="0"/>
                      <w:marRight w:val="0"/>
                      <w:marTop w:val="0"/>
                      <w:marBottom w:val="0"/>
                      <w:divBdr>
                        <w:top w:val="none" w:sz="0" w:space="0" w:color="auto"/>
                        <w:left w:val="none" w:sz="0" w:space="0" w:color="auto"/>
                        <w:bottom w:val="none" w:sz="0" w:space="0" w:color="auto"/>
                        <w:right w:val="none" w:sz="0" w:space="0" w:color="auto"/>
                      </w:divBdr>
                      <w:divsChild>
                        <w:div w:id="1386374745">
                          <w:marLeft w:val="0"/>
                          <w:marRight w:val="0"/>
                          <w:marTop w:val="0"/>
                          <w:marBottom w:val="0"/>
                          <w:divBdr>
                            <w:top w:val="none" w:sz="0" w:space="0" w:color="auto"/>
                            <w:left w:val="none" w:sz="0" w:space="0" w:color="auto"/>
                            <w:bottom w:val="none" w:sz="0" w:space="0" w:color="auto"/>
                            <w:right w:val="none" w:sz="0" w:space="0" w:color="auto"/>
                          </w:divBdr>
                          <w:divsChild>
                            <w:div w:id="2082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1919</Words>
  <Characters>10944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 FOGNINI</dc:creator>
  <cp:keywords/>
  <dc:description/>
  <cp:lastModifiedBy>CPT FOGNINI</cp:lastModifiedBy>
  <cp:revision>3</cp:revision>
  <cp:lastPrinted>2020-01-14T07:03:00Z</cp:lastPrinted>
  <dcterms:created xsi:type="dcterms:W3CDTF">2020-01-14T07:05:00Z</dcterms:created>
  <dcterms:modified xsi:type="dcterms:W3CDTF">2020-01-15T09:52:00Z</dcterms:modified>
</cp:coreProperties>
</file>