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7BE4" w14:textId="77777777" w:rsidR="00A13853" w:rsidRPr="00942386" w:rsidRDefault="00743961" w:rsidP="002E7BC4">
      <w:pPr>
        <w:pStyle w:val="Intestazione"/>
        <w:jc w:val="center"/>
        <w:rPr>
          <w:rFonts w:ascii="Tahoma" w:hAnsi="Tahoma" w:cs="Tahoma"/>
          <w:sz w:val="20"/>
          <w:szCs w:val="20"/>
        </w:rPr>
      </w:pPr>
      <w:r w:rsidRPr="0094238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942386" w:rsidRDefault="00A13853" w:rsidP="002E7BC4">
      <w:pPr>
        <w:tabs>
          <w:tab w:val="center" w:pos="4819"/>
          <w:tab w:val="right" w:pos="9638"/>
        </w:tabs>
        <w:ind w:right="283"/>
        <w:jc w:val="both"/>
        <w:rPr>
          <w:rFonts w:eastAsia="Times New Roman" w:cs="Tahoma"/>
          <w:szCs w:val="20"/>
          <w:lang w:eastAsia="it-IT"/>
        </w:rPr>
      </w:pPr>
    </w:p>
    <w:p w14:paraId="0A2FB5F4" w14:textId="02327155" w:rsidR="00940CF4" w:rsidRPr="00942386" w:rsidRDefault="00676B0E" w:rsidP="00973EA9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b/>
          <w:szCs w:val="20"/>
          <w:lang w:eastAsia="it-IT"/>
        </w:rPr>
      </w:pPr>
      <w:r w:rsidRPr="00942386">
        <w:rPr>
          <w:rFonts w:eastAsia="Times New Roman" w:cs="Tahoma"/>
          <w:b/>
          <w:szCs w:val="20"/>
          <w:lang w:eastAsia="it-IT"/>
        </w:rPr>
        <w:t xml:space="preserve">VERBALE INCONTRO T.T. </w:t>
      </w:r>
      <w:r w:rsidR="00813CB1">
        <w:rPr>
          <w:rFonts w:eastAsia="Times New Roman" w:cs="Tahoma"/>
          <w:b/>
          <w:szCs w:val="20"/>
          <w:lang w:eastAsia="it-IT"/>
        </w:rPr>
        <w:t>30.06</w:t>
      </w:r>
      <w:r w:rsidR="002D2EBA">
        <w:rPr>
          <w:rFonts w:eastAsia="Times New Roman" w:cs="Tahoma"/>
          <w:b/>
          <w:szCs w:val="20"/>
          <w:lang w:eastAsia="it-IT"/>
        </w:rPr>
        <w:t>.202</w:t>
      </w:r>
      <w:r w:rsidR="00356F45">
        <w:rPr>
          <w:rFonts w:eastAsia="Times New Roman" w:cs="Tahoma"/>
          <w:b/>
          <w:szCs w:val="20"/>
          <w:lang w:eastAsia="it-IT"/>
        </w:rPr>
        <w:t>5</w:t>
      </w:r>
    </w:p>
    <w:p w14:paraId="6363F6B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1B43A032" w14:textId="36753EC3" w:rsidR="005B7EB1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In data </w:t>
      </w:r>
      <w:r w:rsidR="00096A42">
        <w:rPr>
          <w:rFonts w:eastAsia="Times New Roman" w:cs="Tahoma"/>
          <w:szCs w:val="20"/>
          <w:lang w:eastAsia="it-IT"/>
        </w:rPr>
        <w:t>30</w:t>
      </w:r>
      <w:r w:rsidR="00356F45">
        <w:rPr>
          <w:rFonts w:eastAsia="Times New Roman" w:cs="Tahoma"/>
          <w:szCs w:val="20"/>
          <w:lang w:eastAsia="it-IT"/>
        </w:rPr>
        <w:t xml:space="preserve"> </w:t>
      </w:r>
      <w:r w:rsidR="00096A42">
        <w:rPr>
          <w:rFonts w:eastAsia="Times New Roman" w:cs="Tahoma"/>
          <w:szCs w:val="20"/>
          <w:lang w:eastAsia="it-IT"/>
        </w:rPr>
        <w:t>Giugno</w:t>
      </w:r>
      <w:r w:rsidR="00356F45">
        <w:rPr>
          <w:rFonts w:eastAsia="Times New Roman" w:cs="Tahoma"/>
          <w:szCs w:val="20"/>
          <w:lang w:eastAsia="it-IT"/>
        </w:rPr>
        <w:t xml:space="preserve"> 2025</w:t>
      </w:r>
      <w:r w:rsidRPr="00942386">
        <w:rPr>
          <w:rFonts w:eastAsia="Times New Roman" w:cs="Tahoma"/>
          <w:szCs w:val="20"/>
          <w:lang w:eastAsia="it-IT"/>
        </w:rPr>
        <w:t xml:space="preserve"> presso </w:t>
      </w:r>
      <w:r w:rsidR="00356F45">
        <w:rPr>
          <w:rFonts w:eastAsia="Times New Roman" w:cs="Tahoma"/>
          <w:szCs w:val="20"/>
          <w:lang w:eastAsia="it-IT"/>
        </w:rPr>
        <w:t>la sala conferenze di Confindustria ad Imperia</w:t>
      </w:r>
      <w:r w:rsidRPr="00942386">
        <w:rPr>
          <w:rFonts w:eastAsia="Times New Roman" w:cs="Tahoma"/>
          <w:szCs w:val="20"/>
          <w:lang w:eastAsia="it-IT"/>
        </w:rPr>
        <w:t xml:space="preserve">, </w:t>
      </w:r>
      <w:r w:rsidR="00356F45">
        <w:rPr>
          <w:rFonts w:eastAsia="Times New Roman" w:cs="Tahoma"/>
          <w:szCs w:val="20"/>
          <w:lang w:eastAsia="it-IT"/>
        </w:rPr>
        <w:t xml:space="preserve">C.so </w:t>
      </w:r>
      <w:r w:rsidR="00F8439F">
        <w:rPr>
          <w:rFonts w:eastAsia="Times New Roman" w:cs="Tahoma"/>
          <w:szCs w:val="20"/>
          <w:lang w:eastAsia="it-IT"/>
        </w:rPr>
        <w:t>Matteotti,</w:t>
      </w:r>
      <w:r w:rsidRPr="00942386">
        <w:rPr>
          <w:rFonts w:eastAsia="Times New Roman" w:cs="Tahoma"/>
          <w:szCs w:val="20"/>
          <w:lang w:eastAsia="it-IT"/>
        </w:rPr>
        <w:t xml:space="preserve"> è tenuto </w:t>
      </w:r>
      <w:r w:rsidR="00E2040A" w:rsidRPr="00942386">
        <w:rPr>
          <w:rFonts w:eastAsia="Times New Roman" w:cs="Tahoma"/>
          <w:szCs w:val="20"/>
          <w:lang w:eastAsia="it-IT"/>
        </w:rPr>
        <w:t>l’</w:t>
      </w:r>
      <w:r w:rsidRPr="00942386">
        <w:rPr>
          <w:rFonts w:eastAsia="Times New Roman" w:cs="Tahoma"/>
          <w:szCs w:val="20"/>
          <w:lang w:eastAsia="it-IT"/>
        </w:rPr>
        <w:t>incontro del “Tavolo Tecnico”.</w:t>
      </w:r>
    </w:p>
    <w:p w14:paraId="66E42232" w14:textId="77777777" w:rsidR="005B7EB1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CFD3A67" w14:textId="357BBBE5" w:rsidR="00940CF4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Erano presenti: </w:t>
      </w:r>
    </w:p>
    <w:p w14:paraId="2F4998E8" w14:textId="77777777" w:rsidR="005B7EB1" w:rsidRPr="00942386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9B64C6B" w14:textId="5B866625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l’ASL 1: Dott. Salvatore Mazzarel</w:t>
      </w:r>
      <w:r w:rsidR="00F8439F">
        <w:rPr>
          <w:rFonts w:eastAsia="Times New Roman" w:cs="Tahoma"/>
          <w:szCs w:val="20"/>
          <w:lang w:eastAsia="it-IT"/>
        </w:rPr>
        <w:t>la</w:t>
      </w:r>
      <w:r w:rsidR="00563CD3">
        <w:rPr>
          <w:rFonts w:eastAsia="Times New Roman" w:cs="Tahoma"/>
          <w:szCs w:val="20"/>
          <w:lang w:eastAsia="it-IT"/>
        </w:rPr>
        <w:t xml:space="preserve">, </w:t>
      </w:r>
      <w:r w:rsidR="009228AD">
        <w:rPr>
          <w:rFonts w:eastAsia="Times New Roman" w:cs="Tahoma"/>
          <w:szCs w:val="20"/>
          <w:lang w:eastAsia="it-IT"/>
        </w:rPr>
        <w:t xml:space="preserve">Tecnici </w:t>
      </w:r>
      <w:r w:rsidR="00390E28">
        <w:rPr>
          <w:rFonts w:eastAsia="Times New Roman" w:cs="Tahoma"/>
          <w:szCs w:val="20"/>
          <w:lang w:eastAsia="it-IT"/>
        </w:rPr>
        <w:t xml:space="preserve">: Clara Palmaricciotti, </w:t>
      </w:r>
      <w:r w:rsidR="00563CD3">
        <w:rPr>
          <w:rFonts w:eastAsia="Times New Roman" w:cs="Tahoma"/>
          <w:szCs w:val="20"/>
          <w:lang w:eastAsia="it-IT"/>
        </w:rPr>
        <w:t>Roman Scarselletta</w:t>
      </w:r>
    </w:p>
    <w:p w14:paraId="119E9E42" w14:textId="2BB2D123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l’INL: </w:t>
      </w:r>
      <w:r w:rsidR="007A11C3" w:rsidRPr="00942386">
        <w:rPr>
          <w:rFonts w:eastAsia="Times New Roman" w:cs="Tahoma"/>
          <w:szCs w:val="20"/>
          <w:lang w:eastAsia="it-IT"/>
        </w:rPr>
        <w:t xml:space="preserve">L’isp. </w:t>
      </w:r>
      <w:r w:rsidR="00584BE5" w:rsidRPr="00942386">
        <w:rPr>
          <w:rFonts w:eastAsia="Times New Roman" w:cs="Tahoma"/>
          <w:szCs w:val="20"/>
          <w:lang w:eastAsia="it-IT"/>
        </w:rPr>
        <w:t>Bernardini</w:t>
      </w:r>
      <w:r w:rsidR="007A11C3" w:rsidRPr="00942386">
        <w:rPr>
          <w:rFonts w:eastAsia="Times New Roman" w:cs="Tahoma"/>
          <w:szCs w:val="20"/>
          <w:lang w:eastAsia="it-IT"/>
        </w:rPr>
        <w:t xml:space="preserve"> Ing. Francesco Paolo</w:t>
      </w:r>
    </w:p>
    <w:p w14:paraId="20688BBE" w14:textId="22A87896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l’Area Sicurezza: Ing. Paola Fognini, Geom. Gianni Anfossi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  <w:r w:rsidR="00390E28">
        <w:rPr>
          <w:rFonts w:eastAsia="Times New Roman" w:cs="Tahoma"/>
          <w:szCs w:val="20"/>
          <w:lang w:eastAsia="it-IT"/>
        </w:rPr>
        <w:t>–</w:t>
      </w:r>
      <w:r w:rsidR="00356F45">
        <w:rPr>
          <w:rFonts w:eastAsia="Times New Roman" w:cs="Tahoma"/>
          <w:szCs w:val="20"/>
          <w:lang w:eastAsia="it-IT"/>
        </w:rPr>
        <w:t xml:space="preserve"> </w:t>
      </w:r>
      <w:r w:rsidR="00390E28">
        <w:rPr>
          <w:rFonts w:eastAsia="Times New Roman" w:cs="Tahoma"/>
          <w:szCs w:val="20"/>
          <w:lang w:eastAsia="it-IT"/>
        </w:rPr>
        <w:t>Geom. Roberto Fresu – Arch. Andrea Cagliero</w:t>
      </w:r>
    </w:p>
    <w:p w14:paraId="21E75D5C" w14:textId="00CB8357" w:rsidR="00584BE5" w:rsidRPr="00942386" w:rsidRDefault="00390E28" w:rsidP="00584BE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Per INAIL: </w:t>
      </w:r>
      <w:r w:rsidR="00584BE5" w:rsidRPr="00942386">
        <w:rPr>
          <w:rFonts w:eastAsia="Times New Roman" w:cs="Tahoma"/>
          <w:szCs w:val="20"/>
          <w:lang w:eastAsia="it-IT"/>
        </w:rPr>
        <w:t xml:space="preserve">Dott.ssa </w:t>
      </w:r>
      <w:r w:rsidR="00563CD3">
        <w:rPr>
          <w:rFonts w:eastAsia="Times New Roman" w:cs="Tahoma"/>
          <w:szCs w:val="20"/>
          <w:lang w:eastAsia="it-IT"/>
        </w:rPr>
        <w:t>Giovanna Cannonero</w:t>
      </w:r>
      <w:r w:rsidR="002D2EBA">
        <w:rPr>
          <w:rFonts w:eastAsia="Times New Roman" w:cs="Tahoma"/>
          <w:szCs w:val="20"/>
          <w:lang w:eastAsia="it-IT"/>
        </w:rPr>
        <w:t xml:space="preserve"> </w:t>
      </w:r>
    </w:p>
    <w:p w14:paraId="65C5CA84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FF729A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Membri aggiunti:</w:t>
      </w:r>
    </w:p>
    <w:p w14:paraId="7804F31B" w14:textId="52DF9BF2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degli Architetti: </w:t>
      </w:r>
      <w:r w:rsidR="00584BE5" w:rsidRPr="00942386">
        <w:rPr>
          <w:rFonts w:eastAsia="Times New Roman" w:cs="Tahoma"/>
          <w:szCs w:val="20"/>
          <w:lang w:eastAsia="it-IT"/>
        </w:rPr>
        <w:t>Arch. Fausto De Luca</w:t>
      </w:r>
      <w:r w:rsidR="002D2EBA">
        <w:rPr>
          <w:rFonts w:eastAsia="Times New Roman" w:cs="Tahoma"/>
          <w:szCs w:val="20"/>
          <w:lang w:eastAsia="it-IT"/>
        </w:rPr>
        <w:t xml:space="preserve"> – Arch. Flore</w:t>
      </w:r>
    </w:p>
    <w:p w14:paraId="6E924C1C" w14:textId="7D7EC8FA" w:rsidR="00584BE5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L’Ordine dei</w:t>
      </w:r>
      <w:r w:rsidR="00584BE5" w:rsidRPr="00942386">
        <w:rPr>
          <w:rFonts w:eastAsia="Times New Roman" w:cs="Tahoma"/>
          <w:szCs w:val="20"/>
          <w:lang w:eastAsia="it-IT"/>
        </w:rPr>
        <w:t xml:space="preserve"> TSRM: Dott. Francesco Rotomondo</w:t>
      </w:r>
    </w:p>
    <w:p w14:paraId="4E1D21A8" w14:textId="012D34D0" w:rsidR="00E2040A" w:rsidRPr="00942386" w:rsidRDefault="00584BE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r w:rsidR="007A11C3" w:rsidRPr="00942386">
        <w:rPr>
          <w:rFonts w:eastAsia="Times New Roman" w:cs="Tahoma"/>
          <w:szCs w:val="20"/>
          <w:lang w:eastAsia="it-IT"/>
        </w:rPr>
        <w:t>L</w:t>
      </w:r>
      <w:r w:rsidRPr="00942386">
        <w:rPr>
          <w:rFonts w:eastAsia="Times New Roman" w:cs="Tahoma"/>
          <w:szCs w:val="20"/>
          <w:lang w:eastAsia="it-IT"/>
        </w:rPr>
        <w:t>’ Ordine degli Ingegneri: Ing. Fabio Sappia</w:t>
      </w:r>
    </w:p>
    <w:p w14:paraId="4EA0F688" w14:textId="4E7E2D27" w:rsidR="00E2040A" w:rsidRPr="00942386" w:rsidRDefault="00E2084E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Per L’Ordine dei P.I.:  </w:t>
      </w:r>
      <w:r w:rsidR="00563CD3">
        <w:rPr>
          <w:rFonts w:eastAsia="Times New Roman" w:cs="Tahoma"/>
          <w:szCs w:val="20"/>
          <w:lang w:eastAsia="it-IT"/>
        </w:rPr>
        <w:t xml:space="preserve">P.I. Luca Gallo </w:t>
      </w:r>
    </w:p>
    <w:p w14:paraId="5E2DE8C8" w14:textId="5ED7F03E" w:rsidR="00563CD3" w:rsidRDefault="00C56108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Per Collegio Geometri : </w:t>
      </w:r>
      <w:r w:rsidR="00356F45" w:rsidRPr="00942386">
        <w:rPr>
          <w:rFonts w:eastAsia="Times New Roman" w:cs="Tahoma"/>
          <w:szCs w:val="20"/>
          <w:lang w:eastAsia="it-IT"/>
        </w:rPr>
        <w:t>Geom. Davide Sgrò</w:t>
      </w:r>
      <w:r w:rsidR="00356F45">
        <w:rPr>
          <w:rFonts w:eastAsia="Times New Roman" w:cs="Tahoma"/>
          <w:szCs w:val="20"/>
          <w:lang w:eastAsia="it-IT"/>
        </w:rPr>
        <w:t xml:space="preserve"> </w:t>
      </w:r>
    </w:p>
    <w:p w14:paraId="6441218D" w14:textId="77777777" w:rsidR="00356F45" w:rsidRDefault="00356F4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01EAAB5" w14:textId="139E57F5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RLST UIL: Aliosha Castagna</w:t>
      </w:r>
    </w:p>
    <w:p w14:paraId="0415C2DE" w14:textId="3CA1106B" w:rsidR="00E2040A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RLST CISL: Luca De Leonibus</w:t>
      </w:r>
    </w:p>
    <w:p w14:paraId="4BE1D3B5" w14:textId="77777777" w:rsidR="002D2EBA" w:rsidRPr="00942386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E65453F" w14:textId="333B0D7C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Ospiti: </w:t>
      </w:r>
    </w:p>
    <w:p w14:paraId="50BBC91B" w14:textId="20050A73" w:rsidR="00E2040A" w:rsidRDefault="0078185B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NIL : Gageggi / Soluri</w:t>
      </w:r>
    </w:p>
    <w:p w14:paraId="3911F8EC" w14:textId="77777777" w:rsidR="0078185B" w:rsidRPr="00942386" w:rsidRDefault="0078185B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B059D81" w14:textId="2AF495BD" w:rsidR="00AB5361" w:rsidRPr="00942386" w:rsidRDefault="007A11C3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</w:t>
      </w:r>
      <w:r w:rsidR="00AB5361" w:rsidRPr="00942386">
        <w:rPr>
          <w:rFonts w:eastAsia="Times New Roman" w:cs="Tahoma"/>
          <w:szCs w:val="20"/>
          <w:lang w:eastAsia="it-IT"/>
        </w:rPr>
        <w:t xml:space="preserve"> riferimento </w:t>
      </w:r>
      <w:r w:rsidR="00BB1DD9" w:rsidRPr="00942386">
        <w:rPr>
          <w:rFonts w:eastAsia="Times New Roman" w:cs="Tahoma"/>
          <w:szCs w:val="20"/>
          <w:lang w:eastAsia="it-IT"/>
        </w:rPr>
        <w:t>all’ordine del giorno riportato in convocazione</w:t>
      </w:r>
      <w:r w:rsidR="00AB5361" w:rsidRPr="00942386">
        <w:rPr>
          <w:rFonts w:eastAsia="Times New Roman" w:cs="Tahoma"/>
          <w:szCs w:val="20"/>
          <w:lang w:eastAsia="it-IT"/>
        </w:rPr>
        <w:t>, si riporta</w:t>
      </w:r>
      <w:r w:rsidR="005B7EB1">
        <w:rPr>
          <w:rFonts w:eastAsia="Times New Roman" w:cs="Tahoma"/>
          <w:szCs w:val="20"/>
          <w:lang w:eastAsia="it-IT"/>
        </w:rPr>
        <w:t xml:space="preserve"> quanto</w:t>
      </w:r>
      <w:r w:rsidR="00AB5361" w:rsidRPr="00942386">
        <w:rPr>
          <w:rFonts w:eastAsia="Times New Roman" w:cs="Tahoma"/>
          <w:szCs w:val="20"/>
          <w:lang w:eastAsia="it-IT"/>
        </w:rPr>
        <w:t xml:space="preserve"> condivis</w:t>
      </w:r>
      <w:r w:rsidR="005B7EB1">
        <w:rPr>
          <w:rFonts w:eastAsia="Times New Roman" w:cs="Tahoma"/>
          <w:szCs w:val="20"/>
          <w:lang w:eastAsia="it-IT"/>
        </w:rPr>
        <w:t>o</w:t>
      </w:r>
      <w:r w:rsidR="00AB5361" w:rsidRPr="00942386">
        <w:rPr>
          <w:rFonts w:eastAsia="Times New Roman" w:cs="Tahoma"/>
          <w:szCs w:val="20"/>
          <w:lang w:eastAsia="it-IT"/>
        </w:rPr>
        <w:t xml:space="preserve"> dai presenti all’incontro, rammentando che, come già ricordato nel Protocollo di istituzione del TT le interpretazioni elaborate esprimono 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“esclusivamente la sintesi del pensiero dei rappresentanti degli Enti Promotori. Tali elaborati, quindi, non costituendo risposte ad Interpello ex art. 12 del D.Lgs. 81/08 e s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m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i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, non avranno carattere impegnativo per le rispettive Amministrazioni di appartenenza”</w:t>
      </w:r>
      <w:r w:rsidR="00AB5361" w:rsidRPr="00942386">
        <w:rPr>
          <w:rFonts w:eastAsia="Times New Roman" w:cs="Tahoma"/>
          <w:szCs w:val="20"/>
          <w:lang w:eastAsia="it-IT"/>
        </w:rPr>
        <w:t xml:space="preserve">. Inoltre, esse saranno da considerare </w:t>
      </w:r>
      <w:r w:rsidR="00AB5361" w:rsidRPr="005B7EB1">
        <w:rPr>
          <w:rFonts w:eastAsia="Times New Roman" w:cs="Tahoma"/>
          <w:i/>
          <w:iCs/>
          <w:szCs w:val="20"/>
          <w:lang w:eastAsia="it-IT"/>
        </w:rPr>
        <w:t>“superate”</w:t>
      </w:r>
      <w:r w:rsidR="00AB5361" w:rsidRPr="00942386">
        <w:rPr>
          <w:rFonts w:eastAsia="Times New Roman" w:cs="Tahoma"/>
          <w:szCs w:val="20"/>
          <w:lang w:eastAsia="it-IT"/>
        </w:rPr>
        <w:t xml:space="preserve"> nel caso vengano emanate norme, interpelli o circolari interpretative ufficiali.</w:t>
      </w:r>
    </w:p>
    <w:p w14:paraId="585CB361" w14:textId="775A7F5B" w:rsidR="00AB5361" w:rsidRPr="00942386" w:rsidRDefault="00AB5361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EBE6C4A" w14:textId="763C28F2" w:rsidR="000854B9" w:rsidRDefault="005B7EB1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ARGOMENTO </w:t>
      </w:r>
      <w:r w:rsidR="00E06881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n.1)</w:t>
      </w:r>
      <w:r w:rsidR="00AC57BF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: </w:t>
      </w:r>
      <w:r w:rsidR="00997851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Anali</w:t>
      </w:r>
      <w:r w:rsidR="00AC57BF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si</w:t>
      </w:r>
      <w:r w:rsidR="00997851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 Nuovo Accordo Stato Regioni del </w:t>
      </w:r>
      <w:r w:rsidR="00AC57BF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17.04.2025</w:t>
      </w:r>
    </w:p>
    <w:p w14:paraId="6BC03889" w14:textId="77777777" w:rsidR="001F00CD" w:rsidRDefault="001F00CD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39FC18A8" w14:textId="3EE09481" w:rsidR="001F00CD" w:rsidRDefault="001F00CD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  <w:r w:rsidRPr="001F00CD">
        <w:rPr>
          <w:rFonts w:ascii="Tahoma" w:eastAsia="Times New Roman" w:hAnsi="Tahoma" w:cs="Tahoma"/>
          <w:sz w:val="20"/>
          <w:szCs w:val="20"/>
          <w:lang w:eastAsia="it-IT"/>
        </w:rPr>
        <w:t>L’ing. Bernardini</w:t>
      </w:r>
      <w:r w:rsidR="00183720">
        <w:rPr>
          <w:rFonts w:ascii="Tahoma" w:eastAsia="Times New Roman" w:hAnsi="Tahoma" w:cs="Tahoma"/>
          <w:sz w:val="20"/>
          <w:szCs w:val="20"/>
          <w:lang w:eastAsia="it-IT"/>
        </w:rPr>
        <w:t xml:space="preserve"> interviene illustrando </w:t>
      </w:r>
      <w:r w:rsidR="005C4E79">
        <w:rPr>
          <w:rFonts w:ascii="Tahoma" w:eastAsia="Times New Roman" w:hAnsi="Tahoma" w:cs="Tahoma"/>
          <w:sz w:val="20"/>
          <w:szCs w:val="20"/>
          <w:lang w:eastAsia="it-IT"/>
        </w:rPr>
        <w:t xml:space="preserve">l’Accordo Stato </w:t>
      </w:r>
      <w:r w:rsidR="00A623F8">
        <w:rPr>
          <w:rFonts w:ascii="Tahoma" w:eastAsia="Times New Roman" w:hAnsi="Tahoma" w:cs="Tahoma"/>
          <w:sz w:val="20"/>
          <w:szCs w:val="20"/>
          <w:lang w:eastAsia="it-IT"/>
        </w:rPr>
        <w:t xml:space="preserve">Regioni nei punti salienti, evidenziando le </w:t>
      </w:r>
      <w:r w:rsidR="00E60D8A">
        <w:rPr>
          <w:rFonts w:ascii="Tahoma" w:eastAsia="Times New Roman" w:hAnsi="Tahoma" w:cs="Tahoma"/>
          <w:sz w:val="20"/>
          <w:szCs w:val="20"/>
          <w:lang w:eastAsia="it-IT"/>
        </w:rPr>
        <w:t xml:space="preserve">novità rispetto al precedente Accordo. </w:t>
      </w:r>
      <w:r w:rsidR="00747EB0">
        <w:rPr>
          <w:rFonts w:ascii="Tahoma" w:eastAsia="Times New Roman" w:hAnsi="Tahoma" w:cs="Tahoma"/>
          <w:sz w:val="20"/>
          <w:szCs w:val="20"/>
          <w:lang w:eastAsia="it-IT"/>
        </w:rPr>
        <w:t xml:space="preserve">Si puntualizza l’importanza della programmazione dei corsi , della relativa documentazione da redigere </w:t>
      </w:r>
      <w:r w:rsidR="00213CCB">
        <w:rPr>
          <w:rFonts w:ascii="Tahoma" w:eastAsia="Times New Roman" w:hAnsi="Tahoma" w:cs="Tahoma"/>
          <w:sz w:val="20"/>
          <w:szCs w:val="20"/>
          <w:lang w:eastAsia="it-IT"/>
        </w:rPr>
        <w:t>e si affronta nel contempo il problema della comprensione della lingua</w:t>
      </w:r>
      <w:r w:rsidR="00B35882">
        <w:rPr>
          <w:rFonts w:ascii="Tahoma" w:eastAsia="Times New Roman" w:hAnsi="Tahoma" w:cs="Tahoma"/>
          <w:sz w:val="20"/>
          <w:szCs w:val="20"/>
          <w:lang w:eastAsia="it-IT"/>
        </w:rPr>
        <w:t xml:space="preserve">, </w:t>
      </w:r>
      <w:r w:rsidR="00F5222E">
        <w:rPr>
          <w:rFonts w:ascii="Tahoma" w:eastAsia="Times New Roman" w:hAnsi="Tahoma" w:cs="Tahoma"/>
          <w:sz w:val="20"/>
          <w:szCs w:val="20"/>
          <w:lang w:eastAsia="it-IT"/>
        </w:rPr>
        <w:t xml:space="preserve">dato il continuo aumento della manodopera straniera, </w:t>
      </w:r>
      <w:r w:rsidR="00B35882">
        <w:rPr>
          <w:rFonts w:ascii="Tahoma" w:eastAsia="Times New Roman" w:hAnsi="Tahoma" w:cs="Tahoma"/>
          <w:sz w:val="20"/>
          <w:szCs w:val="20"/>
          <w:lang w:eastAsia="it-IT"/>
        </w:rPr>
        <w:t>non facile da gestire , per il quale si cercherà entro l’anno di proporre e trovare soluzioni adeguate</w:t>
      </w:r>
      <w:r w:rsidR="00EF65C2">
        <w:rPr>
          <w:rFonts w:ascii="Tahoma" w:eastAsia="Times New Roman" w:hAnsi="Tahoma" w:cs="Tahoma"/>
          <w:sz w:val="20"/>
          <w:szCs w:val="20"/>
          <w:lang w:eastAsia="it-IT"/>
        </w:rPr>
        <w:t xml:space="preserve">. </w:t>
      </w:r>
      <w:r w:rsidR="00E2647E">
        <w:rPr>
          <w:rFonts w:ascii="Tahoma" w:eastAsia="Times New Roman" w:hAnsi="Tahoma" w:cs="Tahoma"/>
          <w:sz w:val="20"/>
          <w:szCs w:val="20"/>
          <w:lang w:eastAsia="it-IT"/>
        </w:rPr>
        <w:t>Si allegano slide della presentazione.</w:t>
      </w:r>
    </w:p>
    <w:p w14:paraId="561CECFD" w14:textId="268E5E8D" w:rsidR="002953CF" w:rsidRDefault="002953CF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Poiché </w:t>
      </w:r>
      <w:r w:rsidR="006546FB">
        <w:rPr>
          <w:rFonts w:ascii="Tahoma" w:eastAsia="Times New Roman" w:hAnsi="Tahoma" w:cs="Tahoma"/>
          <w:sz w:val="20"/>
          <w:szCs w:val="20"/>
          <w:lang w:eastAsia="it-IT"/>
        </w:rPr>
        <w:t xml:space="preserve">il nuovo accordo ribadisce come il precedente, che la formazione </w:t>
      </w:r>
      <w:r w:rsidR="00ED1D20">
        <w:rPr>
          <w:rFonts w:ascii="Tahoma" w:eastAsia="Times New Roman" w:hAnsi="Tahoma" w:cs="Tahoma"/>
          <w:sz w:val="20"/>
          <w:szCs w:val="20"/>
          <w:lang w:eastAsia="it-IT"/>
        </w:rPr>
        <w:t xml:space="preserve">deve avvenire in collaborazione con gli Organismi Paritetici di settore, territoriali, ove presenti, </w:t>
      </w:r>
      <w:r w:rsidR="0096060B">
        <w:rPr>
          <w:rFonts w:ascii="Tahoma" w:eastAsia="Times New Roman" w:hAnsi="Tahoma" w:cs="Tahoma"/>
          <w:sz w:val="20"/>
          <w:szCs w:val="20"/>
          <w:lang w:eastAsia="it-IT"/>
        </w:rPr>
        <w:t xml:space="preserve">si chiede agli Organi ispettivi di verificare in sede di controllo ispettivo </w:t>
      </w:r>
      <w:r w:rsidR="00845F36">
        <w:rPr>
          <w:rFonts w:ascii="Tahoma" w:eastAsia="Times New Roman" w:hAnsi="Tahoma" w:cs="Tahoma"/>
          <w:sz w:val="20"/>
          <w:szCs w:val="20"/>
          <w:lang w:eastAsia="it-IT"/>
        </w:rPr>
        <w:t xml:space="preserve">l’avvenuta comunicazione richiesta dalla normativa, in modo da sensibilizzare le aziende </w:t>
      </w:r>
      <w:r w:rsidR="00C13A01">
        <w:rPr>
          <w:rFonts w:ascii="Tahoma" w:eastAsia="Times New Roman" w:hAnsi="Tahoma" w:cs="Tahoma"/>
          <w:sz w:val="20"/>
          <w:szCs w:val="20"/>
          <w:lang w:eastAsia="it-IT"/>
        </w:rPr>
        <w:t xml:space="preserve">, seppur non sanzionabili, </w:t>
      </w:r>
      <w:r w:rsidR="000813C9">
        <w:rPr>
          <w:rFonts w:ascii="Tahoma" w:eastAsia="Times New Roman" w:hAnsi="Tahoma" w:cs="Tahoma"/>
          <w:sz w:val="20"/>
          <w:szCs w:val="20"/>
          <w:lang w:eastAsia="it-IT"/>
        </w:rPr>
        <w:t>al rispetto di tale indicazione</w:t>
      </w:r>
      <w:r w:rsidR="0022730B">
        <w:rPr>
          <w:rFonts w:ascii="Tahoma" w:eastAsia="Times New Roman" w:hAnsi="Tahoma" w:cs="Tahoma"/>
          <w:sz w:val="20"/>
          <w:szCs w:val="20"/>
          <w:lang w:eastAsia="it-IT"/>
        </w:rPr>
        <w:t xml:space="preserve">. Questo strumento, se utilizzato, non può che dare trasparenza all’erogazione della formazione </w:t>
      </w:r>
      <w:r w:rsidR="00CF5E0A">
        <w:rPr>
          <w:rFonts w:ascii="Tahoma" w:eastAsia="Times New Roman" w:hAnsi="Tahoma" w:cs="Tahoma"/>
          <w:sz w:val="20"/>
          <w:szCs w:val="20"/>
          <w:lang w:eastAsia="it-IT"/>
        </w:rPr>
        <w:t xml:space="preserve">e contribuirebbe </w:t>
      </w:r>
      <w:r w:rsidR="00AD41D2">
        <w:rPr>
          <w:rFonts w:ascii="Tahoma" w:eastAsia="Times New Roman" w:hAnsi="Tahoma" w:cs="Tahoma"/>
          <w:sz w:val="20"/>
          <w:szCs w:val="20"/>
          <w:lang w:eastAsia="it-IT"/>
        </w:rPr>
        <w:t xml:space="preserve">perlomeno a dissuadere gli eventuali soggetti </w:t>
      </w:r>
      <w:r w:rsidR="00470531">
        <w:rPr>
          <w:rFonts w:ascii="Tahoma" w:eastAsia="Times New Roman" w:hAnsi="Tahoma" w:cs="Tahoma"/>
          <w:sz w:val="20"/>
          <w:szCs w:val="20"/>
          <w:lang w:eastAsia="it-IT"/>
        </w:rPr>
        <w:t xml:space="preserve">che da sempre , </w:t>
      </w:r>
      <w:r w:rsidR="00973F3E">
        <w:rPr>
          <w:rFonts w:ascii="Tahoma" w:eastAsia="Times New Roman" w:hAnsi="Tahoma" w:cs="Tahoma"/>
          <w:sz w:val="20"/>
          <w:szCs w:val="20"/>
          <w:lang w:eastAsia="it-IT"/>
        </w:rPr>
        <w:t>rilasciano attestati falsi per formazioni mai erogate.</w:t>
      </w:r>
    </w:p>
    <w:p w14:paraId="630EC9DA" w14:textId="77777777" w:rsidR="00E06881" w:rsidRDefault="00E06881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688F1C50" w14:textId="1016411B" w:rsidR="00E06881" w:rsidRDefault="00E06881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E06881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ARGOMENTO n.2) : Lavorazioni in presenza di amianto</w:t>
      </w:r>
    </w:p>
    <w:p w14:paraId="7BC0A565" w14:textId="77777777" w:rsidR="00E06881" w:rsidRDefault="00E06881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1EB45EE4" w14:textId="6A1AA898" w:rsidR="00E06881" w:rsidRDefault="00D840D1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  <w:r w:rsidRPr="00D840D1">
        <w:rPr>
          <w:rFonts w:ascii="Tahoma" w:eastAsia="Times New Roman" w:hAnsi="Tahoma" w:cs="Tahoma"/>
          <w:sz w:val="20"/>
          <w:szCs w:val="20"/>
          <w:lang w:eastAsia="it-IT"/>
        </w:rPr>
        <w:t xml:space="preserve">Nel caso in cui si rilevi la presenza </w:t>
      </w:r>
      <w:r w:rsidR="000B6A14">
        <w:rPr>
          <w:rFonts w:ascii="Tahoma" w:eastAsia="Times New Roman" w:hAnsi="Tahoma" w:cs="Tahoma"/>
          <w:sz w:val="20"/>
          <w:szCs w:val="20"/>
          <w:lang w:eastAsia="it-IT"/>
        </w:rPr>
        <w:t xml:space="preserve">non prevista </w:t>
      </w:r>
      <w:r w:rsidRPr="00D840D1">
        <w:rPr>
          <w:rFonts w:ascii="Tahoma" w:eastAsia="Times New Roman" w:hAnsi="Tahoma" w:cs="Tahoma"/>
          <w:sz w:val="20"/>
          <w:szCs w:val="20"/>
          <w:lang w:eastAsia="it-IT"/>
        </w:rPr>
        <w:t xml:space="preserve">di amianto durante </w:t>
      </w:r>
      <w:r>
        <w:rPr>
          <w:rFonts w:ascii="Tahoma" w:eastAsia="Times New Roman" w:hAnsi="Tahoma" w:cs="Tahoma"/>
          <w:sz w:val="20"/>
          <w:szCs w:val="20"/>
          <w:lang w:eastAsia="it-IT"/>
        </w:rPr>
        <w:t>lavorazioni standard di ristrutturazioni e/o demolizioni</w:t>
      </w:r>
      <w:r w:rsidR="000B6A14">
        <w:rPr>
          <w:rFonts w:ascii="Tahoma" w:eastAsia="Times New Roman" w:hAnsi="Tahoma" w:cs="Tahoma"/>
          <w:sz w:val="20"/>
          <w:szCs w:val="20"/>
          <w:lang w:eastAsia="it-IT"/>
        </w:rPr>
        <w:t>, si chiede agli Organi Ispettivi quale debba essere la corretta procedura da seguire .</w:t>
      </w:r>
    </w:p>
    <w:p w14:paraId="195A6DE7" w14:textId="1EA3DCA8" w:rsidR="000B6A14" w:rsidRDefault="00CE4B2A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Sia l’ASL che l’INL concordano sul fatto che……………………………………………………………..</w:t>
      </w:r>
    </w:p>
    <w:p w14:paraId="606B91A2" w14:textId="77777777" w:rsidR="00A41CDB" w:rsidRPr="00B938B2" w:rsidRDefault="00A41CDB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3E9DA796" w14:textId="77777777" w:rsidR="00E77585" w:rsidRDefault="00E77585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5D74464C" w14:textId="77777777" w:rsidR="00E77585" w:rsidRDefault="00E77585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47955498" w14:textId="413305DA" w:rsidR="00A41CDB" w:rsidRDefault="00A41CDB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B938B2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ARGOMENTO n.3</w:t>
      </w:r>
      <w:r w:rsidR="00B938B2" w:rsidRPr="00B938B2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) : Ordinanza Regionale rischio Calore</w:t>
      </w:r>
    </w:p>
    <w:p w14:paraId="5C23EFE9" w14:textId="77777777" w:rsidR="00B938B2" w:rsidRPr="00B938B2" w:rsidRDefault="00B938B2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73784CC4" w14:textId="759C463B" w:rsidR="009D2B61" w:rsidRDefault="00E77585" w:rsidP="003F1156">
      <w:pPr>
        <w:pStyle w:val="Default"/>
        <w:rPr>
          <w:rFonts w:eastAsia="Times New Roman" w:cs="Tahoma"/>
          <w:bCs/>
          <w:szCs w:val="20"/>
          <w:lang w:eastAsia="it-IT"/>
        </w:rPr>
      </w:pPr>
      <w:r w:rsidRPr="00E274DC">
        <w:rPr>
          <w:rFonts w:ascii="Tahoma" w:eastAsia="Times New Roman" w:hAnsi="Tahoma" w:cs="Tahoma"/>
          <w:sz w:val="20"/>
          <w:szCs w:val="20"/>
          <w:lang w:eastAsia="it-IT"/>
        </w:rPr>
        <w:t xml:space="preserve">Come già anticipato durante il precedente Tavolo Tecnico , avvicinandosi la stagione estiva e prevendendo </w:t>
      </w:r>
      <w:r w:rsidR="00E274DC" w:rsidRPr="00E274DC">
        <w:rPr>
          <w:rFonts w:ascii="Tahoma" w:eastAsia="Times New Roman" w:hAnsi="Tahoma" w:cs="Tahoma"/>
          <w:sz w:val="20"/>
          <w:szCs w:val="20"/>
          <w:lang w:eastAsia="it-IT"/>
        </w:rPr>
        <w:t>temperature al di sopra delle medie stagionali</w:t>
      </w:r>
      <w:r w:rsidR="003F1156">
        <w:rPr>
          <w:rFonts w:ascii="Tahoma" w:eastAsia="Times New Roman" w:hAnsi="Tahoma" w:cs="Tahoma"/>
          <w:sz w:val="20"/>
          <w:szCs w:val="20"/>
          <w:lang w:eastAsia="it-IT"/>
        </w:rPr>
        <w:t xml:space="preserve">, </w:t>
      </w:r>
      <w:r w:rsidR="0029119C">
        <w:rPr>
          <w:rFonts w:eastAsia="Times New Roman" w:cs="Tahoma"/>
          <w:bCs/>
          <w:szCs w:val="20"/>
          <w:lang w:eastAsia="it-IT"/>
        </w:rPr>
        <w:t xml:space="preserve">si </w:t>
      </w:r>
      <w:r w:rsidR="003F1156">
        <w:rPr>
          <w:rFonts w:eastAsia="Times New Roman" w:cs="Tahoma"/>
          <w:bCs/>
          <w:szCs w:val="20"/>
          <w:lang w:eastAsia="it-IT"/>
        </w:rPr>
        <w:t xml:space="preserve">ribadisce </w:t>
      </w:r>
      <w:r w:rsidR="0029119C">
        <w:rPr>
          <w:rFonts w:eastAsia="Times New Roman" w:cs="Tahoma"/>
          <w:bCs/>
          <w:szCs w:val="20"/>
          <w:lang w:eastAsia="it-IT"/>
        </w:rPr>
        <w:t xml:space="preserve"> l’obbligatorietà della </w:t>
      </w:r>
      <w:r w:rsidR="0029119C" w:rsidRPr="0029119C">
        <w:rPr>
          <w:rFonts w:eastAsia="Times New Roman" w:cs="Tahoma"/>
          <w:b/>
          <w:szCs w:val="20"/>
          <w:u w:val="single"/>
          <w:lang w:eastAsia="it-IT"/>
        </w:rPr>
        <w:t>Valutazione del Rischio Calore  nei cantieri edili</w:t>
      </w:r>
      <w:r w:rsidR="0029119C">
        <w:rPr>
          <w:rFonts w:eastAsia="Times New Roman" w:cs="Tahoma"/>
          <w:bCs/>
          <w:szCs w:val="20"/>
          <w:lang w:eastAsia="it-IT"/>
        </w:rPr>
        <w:t xml:space="preserve">, con la previsione della messa in atto di tutte le misure necessarie  a contrastare tale rischio ( presidi igienico-assistenziali adeguati dotati di aria condizionata , acqua potabile a disposizione, cassetta di P.S. sempre presente e completa di medicinali e accessori non scaduti ). </w:t>
      </w:r>
      <w:r w:rsidR="00C22F3C">
        <w:rPr>
          <w:rFonts w:eastAsia="Times New Roman" w:cs="Tahoma"/>
          <w:bCs/>
          <w:szCs w:val="20"/>
          <w:lang w:eastAsia="it-IT"/>
        </w:rPr>
        <w:t>E’ infatti stata emessa un ‘ Ordinanza Regionale</w:t>
      </w:r>
      <w:r w:rsidR="00A57C87">
        <w:rPr>
          <w:rFonts w:eastAsia="Times New Roman" w:cs="Tahoma"/>
          <w:bCs/>
          <w:szCs w:val="20"/>
          <w:lang w:eastAsia="it-IT"/>
        </w:rPr>
        <w:t xml:space="preserve"> ( n.1/25 )</w:t>
      </w:r>
      <w:r w:rsidR="00C22F3C">
        <w:rPr>
          <w:rFonts w:eastAsia="Times New Roman" w:cs="Tahoma"/>
          <w:bCs/>
          <w:szCs w:val="20"/>
          <w:lang w:eastAsia="it-IT"/>
        </w:rPr>
        <w:t xml:space="preserve"> </w:t>
      </w:r>
      <w:r w:rsidR="00C00822">
        <w:rPr>
          <w:rFonts w:eastAsia="Times New Roman" w:cs="Tahoma"/>
          <w:bCs/>
          <w:szCs w:val="20"/>
          <w:lang w:eastAsia="it-IT"/>
        </w:rPr>
        <w:t>in vigore dal 26 Giugno e fino al 31 Agosto</w:t>
      </w:r>
      <w:r w:rsidR="00941612">
        <w:rPr>
          <w:rFonts w:eastAsia="Times New Roman" w:cs="Tahoma"/>
          <w:bCs/>
          <w:szCs w:val="20"/>
          <w:lang w:eastAsia="it-IT"/>
        </w:rPr>
        <w:t>, per il rischio calore e in giornata si terrà una riunione dal prefetto , indetta dai sindacati, per poter attivare la CIGO</w:t>
      </w:r>
      <w:r w:rsidR="00CB77B8">
        <w:rPr>
          <w:rFonts w:eastAsia="Times New Roman" w:cs="Tahoma"/>
          <w:bCs/>
          <w:szCs w:val="20"/>
          <w:lang w:eastAsia="it-IT"/>
        </w:rPr>
        <w:t>, anche nel caso di calore oltre i 35 °.</w:t>
      </w:r>
    </w:p>
    <w:p w14:paraId="12FB6CD7" w14:textId="3C04CB47" w:rsidR="00187218" w:rsidRDefault="00187218" w:rsidP="003F1156">
      <w:pPr>
        <w:pStyle w:val="Default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>::::::::::::::::::::::::::::::::::::::::::::::::::::::::::::::::::::::::::::::::::::::::::::::::::::::::::::::::::::::::::::::::::::::::::::::</w:t>
      </w:r>
    </w:p>
    <w:p w14:paraId="6CBA4248" w14:textId="77777777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0BE363B7" w14:textId="2DB68E33" w:rsidR="00CE2DC4" w:rsidRPr="00CE2DC4" w:rsidRDefault="00CE2DC4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color w:val="EE0000"/>
          <w:szCs w:val="20"/>
          <w:lang w:eastAsia="it-IT"/>
        </w:rPr>
      </w:pPr>
      <w:r w:rsidRPr="00CE2DC4">
        <w:rPr>
          <w:rFonts w:eastAsia="Times New Roman" w:cs="Tahoma"/>
          <w:bCs/>
          <w:color w:val="EE0000"/>
          <w:szCs w:val="20"/>
          <w:lang w:eastAsia="it-IT"/>
        </w:rPr>
        <w:t xml:space="preserve">Aggiungi quello che vuoi abbiamo parlato di tutto e di più ma non mi ricordo nello specifico se c’ stata qualche precisa domanda a cui è stata data risposta </w:t>
      </w:r>
      <w:r w:rsidRPr="00CE2DC4">
        <w:rPr>
          <mc:AlternateContent>
            <mc:Choice Requires="w16se">
              <w:rFonts w:eastAsia="Times New Roman" w:cs="Tahom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EE0000"/>
          <w:szCs w:val="20"/>
          <w:lang w:eastAsia="it-I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BB7C64F" w14:textId="39BC922C" w:rsidR="009D2B61" w:rsidRPr="00CE2DC4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color w:val="EE0000"/>
          <w:szCs w:val="20"/>
          <w:u w:val="single"/>
          <w:lang w:eastAsia="it-IT"/>
        </w:rPr>
      </w:pPr>
    </w:p>
    <w:p w14:paraId="6E820948" w14:textId="207670A6" w:rsidR="00187218" w:rsidRPr="00CE2DC4" w:rsidRDefault="00187218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color w:val="EE0000"/>
          <w:szCs w:val="20"/>
          <w:lang w:eastAsia="it-IT"/>
        </w:rPr>
      </w:pPr>
      <w:r w:rsidRPr="00CE2DC4">
        <w:rPr>
          <w:rFonts w:eastAsia="Times New Roman" w:cs="Tahoma"/>
          <w:bCs/>
          <w:color w:val="EE0000"/>
          <w:szCs w:val="20"/>
          <w:lang w:eastAsia="it-IT"/>
        </w:rPr>
        <w:t xml:space="preserve">Se vogliamo possiamo aggiungere in extremis </w:t>
      </w:r>
      <w:r w:rsidR="00CE2DC4" w:rsidRPr="00CE2DC4">
        <w:rPr>
          <w:rFonts w:eastAsia="Times New Roman" w:cs="Tahoma"/>
          <w:bCs/>
          <w:color w:val="EE0000"/>
          <w:szCs w:val="20"/>
          <w:lang w:eastAsia="it-IT"/>
        </w:rPr>
        <w:t>le novità della patente a punti</w:t>
      </w:r>
    </w:p>
    <w:p w14:paraId="761D124E" w14:textId="77777777" w:rsidR="00187218" w:rsidRDefault="00187218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</w:p>
    <w:p w14:paraId="3C14CBF3" w14:textId="77777777" w:rsidR="00187218" w:rsidRDefault="00187218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</w:p>
    <w:p w14:paraId="4F10A470" w14:textId="0DA42F1F" w:rsidR="009D2B61" w:rsidRP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La seduta è tolta alle ore </w:t>
      </w:r>
      <w:r w:rsidR="00187218">
        <w:rPr>
          <w:rFonts w:eastAsia="Times New Roman" w:cs="Tahoma"/>
          <w:bCs/>
          <w:szCs w:val="20"/>
          <w:lang w:eastAsia="it-IT"/>
        </w:rPr>
        <w:t>12,00</w:t>
      </w:r>
    </w:p>
    <w:p w14:paraId="2D1B8540" w14:textId="77777777" w:rsidR="00BE161F" w:rsidRPr="003F375D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5E2C02BD" w14:textId="3EF00A45" w:rsidR="00B41012" w:rsidRP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D86D0D7" w14:textId="34BD6AC9" w:rsidR="00F03AF5" w:rsidRPr="00942386" w:rsidRDefault="00F03AF5" w:rsidP="00307F3D">
      <w:pPr>
        <w:tabs>
          <w:tab w:val="center" w:pos="4819"/>
          <w:tab w:val="right" w:pos="9638"/>
        </w:tabs>
        <w:ind w:right="-1"/>
        <w:rPr>
          <w:rFonts w:eastAsia="Times New Roman" w:cs="Tahoma"/>
          <w:szCs w:val="20"/>
          <w:lang w:eastAsia="it-IT"/>
        </w:rPr>
      </w:pPr>
    </w:p>
    <w:p w14:paraId="06038A9D" w14:textId="0D98B64A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Il Verbalizzante</w:t>
      </w:r>
    </w:p>
    <w:p w14:paraId="2546AB7A" w14:textId="6B6DF2E9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Ing. Paola Fognini</w:t>
      </w:r>
    </w:p>
    <w:p w14:paraId="1FB947D8" w14:textId="77777777" w:rsidR="009D2B61" w:rsidRPr="00942386" w:rsidRDefault="009D2B61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</w:p>
    <w:p w14:paraId="1797512F" w14:textId="77B01409" w:rsidR="00A13853" w:rsidRDefault="005379A4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</w:t>
      </w:r>
      <w:r w:rsidR="00254FEF">
        <w:rPr>
          <w:rFonts w:eastAsia="Times New Roman" w:cs="Tahoma"/>
          <w:szCs w:val="20"/>
          <w:lang w:eastAsia="it-IT"/>
        </w:rPr>
        <w:t xml:space="preserve">                                                            </w:t>
      </w:r>
      <w:r>
        <w:rPr>
          <w:rFonts w:eastAsia="Times New Roman" w:cs="Tahoma"/>
          <w:szCs w:val="20"/>
          <w:lang w:eastAsia="it-IT"/>
        </w:rPr>
        <w:t xml:space="preserve"> </w:t>
      </w:r>
      <w:r w:rsidR="00A13853" w:rsidRPr="00942386">
        <w:rPr>
          <w:rFonts w:eastAsia="Times New Roman" w:cs="Tahoma"/>
          <w:szCs w:val="20"/>
          <w:lang w:eastAsia="it-IT"/>
        </w:rPr>
        <w:t>__________________</w:t>
      </w:r>
    </w:p>
    <w:p w14:paraId="580809EB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63EAF16E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0AA10CED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56CE982F" w14:textId="32193C2D" w:rsidR="009D2B61" w:rsidRPr="00942386" w:rsidRDefault="009D2B61" w:rsidP="009D2B61">
      <w:pPr>
        <w:tabs>
          <w:tab w:val="center" w:pos="4819"/>
          <w:tab w:val="right" w:pos="9638"/>
        </w:tabs>
        <w:ind w:right="283"/>
        <w:rPr>
          <w:rFonts w:eastAsia="Times New Roman" w:cs="Tahoma"/>
          <w:color w:val="FF0000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Imperia, </w:t>
      </w:r>
      <w:r w:rsidR="00187218">
        <w:rPr>
          <w:rFonts w:eastAsia="Times New Roman" w:cs="Tahoma"/>
          <w:szCs w:val="20"/>
          <w:lang w:eastAsia="it-IT"/>
        </w:rPr>
        <w:t>30</w:t>
      </w:r>
      <w:r>
        <w:rPr>
          <w:rFonts w:eastAsia="Times New Roman" w:cs="Tahoma"/>
          <w:szCs w:val="20"/>
          <w:lang w:eastAsia="it-IT"/>
        </w:rPr>
        <w:t>.0</w:t>
      </w:r>
      <w:r w:rsidR="00187218">
        <w:rPr>
          <w:rFonts w:eastAsia="Times New Roman" w:cs="Tahoma"/>
          <w:szCs w:val="20"/>
          <w:lang w:eastAsia="it-IT"/>
        </w:rPr>
        <w:t>6</w:t>
      </w:r>
      <w:r>
        <w:rPr>
          <w:rFonts w:eastAsia="Times New Roman" w:cs="Tahoma"/>
          <w:szCs w:val="20"/>
          <w:lang w:eastAsia="it-IT"/>
        </w:rPr>
        <w:t>.2025</w:t>
      </w:r>
    </w:p>
    <w:sectPr w:rsidR="009D2B61" w:rsidRPr="00942386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6CA5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230E"/>
    <w:multiLevelType w:val="hybridMultilevel"/>
    <w:tmpl w:val="1104393E"/>
    <w:lvl w:ilvl="0" w:tplc="E3B409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6341"/>
    <w:multiLevelType w:val="multilevel"/>
    <w:tmpl w:val="075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6090">
    <w:abstractNumId w:val="5"/>
  </w:num>
  <w:num w:numId="2" w16cid:durableId="1367021690">
    <w:abstractNumId w:val="1"/>
  </w:num>
  <w:num w:numId="3" w16cid:durableId="818183066">
    <w:abstractNumId w:val="3"/>
  </w:num>
  <w:num w:numId="4" w16cid:durableId="681322521">
    <w:abstractNumId w:val="4"/>
  </w:num>
  <w:num w:numId="5" w16cid:durableId="1979260387">
    <w:abstractNumId w:val="0"/>
  </w:num>
  <w:num w:numId="6" w16cid:durableId="74457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53"/>
    <w:rsid w:val="000246F6"/>
    <w:rsid w:val="000462C8"/>
    <w:rsid w:val="00046EC6"/>
    <w:rsid w:val="00054F7D"/>
    <w:rsid w:val="00062DCE"/>
    <w:rsid w:val="00065D91"/>
    <w:rsid w:val="00074866"/>
    <w:rsid w:val="000813C9"/>
    <w:rsid w:val="00084332"/>
    <w:rsid w:val="000854B9"/>
    <w:rsid w:val="00096A42"/>
    <w:rsid w:val="000B1D7A"/>
    <w:rsid w:val="000B6A14"/>
    <w:rsid w:val="000D2FDC"/>
    <w:rsid w:val="000E3302"/>
    <w:rsid w:val="000E5D9E"/>
    <w:rsid w:val="000F3827"/>
    <w:rsid w:val="000F5F82"/>
    <w:rsid w:val="0010177B"/>
    <w:rsid w:val="00103962"/>
    <w:rsid w:val="00105C6F"/>
    <w:rsid w:val="0011044D"/>
    <w:rsid w:val="00110E7E"/>
    <w:rsid w:val="00124532"/>
    <w:rsid w:val="001276F5"/>
    <w:rsid w:val="001513DA"/>
    <w:rsid w:val="00151C84"/>
    <w:rsid w:val="001630D5"/>
    <w:rsid w:val="001818DC"/>
    <w:rsid w:val="00183720"/>
    <w:rsid w:val="00187218"/>
    <w:rsid w:val="001C2B7C"/>
    <w:rsid w:val="001D06DF"/>
    <w:rsid w:val="001E477F"/>
    <w:rsid w:val="001F00CD"/>
    <w:rsid w:val="001F6ADF"/>
    <w:rsid w:val="00203EFE"/>
    <w:rsid w:val="00213CCB"/>
    <w:rsid w:val="00220953"/>
    <w:rsid w:val="002210D3"/>
    <w:rsid w:val="0022730B"/>
    <w:rsid w:val="0023549E"/>
    <w:rsid w:val="0024534B"/>
    <w:rsid w:val="002462AC"/>
    <w:rsid w:val="00254FEF"/>
    <w:rsid w:val="00263C3C"/>
    <w:rsid w:val="00275F40"/>
    <w:rsid w:val="0029119C"/>
    <w:rsid w:val="00293CAB"/>
    <w:rsid w:val="00294C63"/>
    <w:rsid w:val="002953CF"/>
    <w:rsid w:val="002C3119"/>
    <w:rsid w:val="002D1278"/>
    <w:rsid w:val="002D2EBA"/>
    <w:rsid w:val="002D4097"/>
    <w:rsid w:val="002D6E24"/>
    <w:rsid w:val="002E7BC4"/>
    <w:rsid w:val="00307F3D"/>
    <w:rsid w:val="003146B8"/>
    <w:rsid w:val="00314AB3"/>
    <w:rsid w:val="00320DD2"/>
    <w:rsid w:val="0032136C"/>
    <w:rsid w:val="00323DF4"/>
    <w:rsid w:val="00334EC6"/>
    <w:rsid w:val="003379F3"/>
    <w:rsid w:val="00337B64"/>
    <w:rsid w:val="0034684E"/>
    <w:rsid w:val="00354A69"/>
    <w:rsid w:val="00355461"/>
    <w:rsid w:val="00356F45"/>
    <w:rsid w:val="0038365F"/>
    <w:rsid w:val="00390E28"/>
    <w:rsid w:val="003A76E2"/>
    <w:rsid w:val="003C0919"/>
    <w:rsid w:val="003D478B"/>
    <w:rsid w:val="003E0145"/>
    <w:rsid w:val="003E1CAF"/>
    <w:rsid w:val="003F1156"/>
    <w:rsid w:val="003F375D"/>
    <w:rsid w:val="00403CB5"/>
    <w:rsid w:val="004117E9"/>
    <w:rsid w:val="00411930"/>
    <w:rsid w:val="00412981"/>
    <w:rsid w:val="00412E16"/>
    <w:rsid w:val="00415598"/>
    <w:rsid w:val="00457217"/>
    <w:rsid w:val="00470531"/>
    <w:rsid w:val="00472A75"/>
    <w:rsid w:val="004763D8"/>
    <w:rsid w:val="004A3565"/>
    <w:rsid w:val="004B4B80"/>
    <w:rsid w:val="004D7C16"/>
    <w:rsid w:val="004E3784"/>
    <w:rsid w:val="004F0515"/>
    <w:rsid w:val="0050461C"/>
    <w:rsid w:val="00524B4E"/>
    <w:rsid w:val="00536CA4"/>
    <w:rsid w:val="005379A4"/>
    <w:rsid w:val="00560ADF"/>
    <w:rsid w:val="00563CD3"/>
    <w:rsid w:val="00584BE5"/>
    <w:rsid w:val="00586E4C"/>
    <w:rsid w:val="005B6BAB"/>
    <w:rsid w:val="005B7EB1"/>
    <w:rsid w:val="005C19DB"/>
    <w:rsid w:val="005C1C8E"/>
    <w:rsid w:val="005C4E79"/>
    <w:rsid w:val="005F7C3C"/>
    <w:rsid w:val="00601D04"/>
    <w:rsid w:val="00607FC9"/>
    <w:rsid w:val="00616E4B"/>
    <w:rsid w:val="00617487"/>
    <w:rsid w:val="00625AF1"/>
    <w:rsid w:val="006458B3"/>
    <w:rsid w:val="006479A8"/>
    <w:rsid w:val="006546FB"/>
    <w:rsid w:val="00663B12"/>
    <w:rsid w:val="00670C3F"/>
    <w:rsid w:val="00676B0E"/>
    <w:rsid w:val="0068210E"/>
    <w:rsid w:val="006830F5"/>
    <w:rsid w:val="006A6C46"/>
    <w:rsid w:val="006D63A7"/>
    <w:rsid w:val="00706471"/>
    <w:rsid w:val="007240EE"/>
    <w:rsid w:val="0073587D"/>
    <w:rsid w:val="00742CD0"/>
    <w:rsid w:val="00743961"/>
    <w:rsid w:val="007476A6"/>
    <w:rsid w:val="00747EB0"/>
    <w:rsid w:val="007638B6"/>
    <w:rsid w:val="0078185B"/>
    <w:rsid w:val="00782753"/>
    <w:rsid w:val="00792C22"/>
    <w:rsid w:val="007A0354"/>
    <w:rsid w:val="007A11C3"/>
    <w:rsid w:val="007B7F19"/>
    <w:rsid w:val="007D49AC"/>
    <w:rsid w:val="007E5E1D"/>
    <w:rsid w:val="008065DD"/>
    <w:rsid w:val="00813CB1"/>
    <w:rsid w:val="00814EFA"/>
    <w:rsid w:val="00821DF6"/>
    <w:rsid w:val="00845F36"/>
    <w:rsid w:val="008467E8"/>
    <w:rsid w:val="00854DF3"/>
    <w:rsid w:val="008557A9"/>
    <w:rsid w:val="00860364"/>
    <w:rsid w:val="0089705D"/>
    <w:rsid w:val="008C76F0"/>
    <w:rsid w:val="008D35C2"/>
    <w:rsid w:val="008D446C"/>
    <w:rsid w:val="008E3E50"/>
    <w:rsid w:val="008F0199"/>
    <w:rsid w:val="008F159A"/>
    <w:rsid w:val="008F233D"/>
    <w:rsid w:val="00903FA9"/>
    <w:rsid w:val="009168F2"/>
    <w:rsid w:val="009228AD"/>
    <w:rsid w:val="00940CF4"/>
    <w:rsid w:val="00941612"/>
    <w:rsid w:val="00942386"/>
    <w:rsid w:val="00960079"/>
    <w:rsid w:val="0096060B"/>
    <w:rsid w:val="00963275"/>
    <w:rsid w:val="0096703D"/>
    <w:rsid w:val="00970062"/>
    <w:rsid w:val="00973EA9"/>
    <w:rsid w:val="00973F3E"/>
    <w:rsid w:val="00993523"/>
    <w:rsid w:val="00997851"/>
    <w:rsid w:val="009B5FA8"/>
    <w:rsid w:val="009C1C26"/>
    <w:rsid w:val="009D2B61"/>
    <w:rsid w:val="009F0D17"/>
    <w:rsid w:val="009F145A"/>
    <w:rsid w:val="00A0034D"/>
    <w:rsid w:val="00A107E3"/>
    <w:rsid w:val="00A13853"/>
    <w:rsid w:val="00A155B4"/>
    <w:rsid w:val="00A20876"/>
    <w:rsid w:val="00A41CDB"/>
    <w:rsid w:val="00A46690"/>
    <w:rsid w:val="00A57C87"/>
    <w:rsid w:val="00A623F8"/>
    <w:rsid w:val="00A7331F"/>
    <w:rsid w:val="00A81F89"/>
    <w:rsid w:val="00AB5361"/>
    <w:rsid w:val="00AB7A1E"/>
    <w:rsid w:val="00AC1017"/>
    <w:rsid w:val="00AC57BF"/>
    <w:rsid w:val="00AD41D2"/>
    <w:rsid w:val="00AE2D3D"/>
    <w:rsid w:val="00B120B3"/>
    <w:rsid w:val="00B263F5"/>
    <w:rsid w:val="00B26FD4"/>
    <w:rsid w:val="00B35882"/>
    <w:rsid w:val="00B36351"/>
    <w:rsid w:val="00B3716B"/>
    <w:rsid w:val="00B403CE"/>
    <w:rsid w:val="00B41012"/>
    <w:rsid w:val="00B410AF"/>
    <w:rsid w:val="00B82CD5"/>
    <w:rsid w:val="00B9311A"/>
    <w:rsid w:val="00B938B2"/>
    <w:rsid w:val="00B9436C"/>
    <w:rsid w:val="00B95410"/>
    <w:rsid w:val="00BB0EC8"/>
    <w:rsid w:val="00BB1A69"/>
    <w:rsid w:val="00BB1DD9"/>
    <w:rsid w:val="00BB54B0"/>
    <w:rsid w:val="00BB59F3"/>
    <w:rsid w:val="00BC6F2A"/>
    <w:rsid w:val="00BD2EC0"/>
    <w:rsid w:val="00BE161F"/>
    <w:rsid w:val="00BF123F"/>
    <w:rsid w:val="00BF17F8"/>
    <w:rsid w:val="00C00822"/>
    <w:rsid w:val="00C0434E"/>
    <w:rsid w:val="00C10609"/>
    <w:rsid w:val="00C13A01"/>
    <w:rsid w:val="00C2035B"/>
    <w:rsid w:val="00C21EB0"/>
    <w:rsid w:val="00C22F3C"/>
    <w:rsid w:val="00C23C99"/>
    <w:rsid w:val="00C34D8B"/>
    <w:rsid w:val="00C50226"/>
    <w:rsid w:val="00C54D2C"/>
    <w:rsid w:val="00C55E0A"/>
    <w:rsid w:val="00C56108"/>
    <w:rsid w:val="00C658DE"/>
    <w:rsid w:val="00C65E1A"/>
    <w:rsid w:val="00C76CF1"/>
    <w:rsid w:val="00C8446B"/>
    <w:rsid w:val="00C9183E"/>
    <w:rsid w:val="00CB77B8"/>
    <w:rsid w:val="00CE2DC4"/>
    <w:rsid w:val="00CE4B2A"/>
    <w:rsid w:val="00CF1423"/>
    <w:rsid w:val="00CF5E0A"/>
    <w:rsid w:val="00D12BC3"/>
    <w:rsid w:val="00D159F3"/>
    <w:rsid w:val="00D31900"/>
    <w:rsid w:val="00D347CC"/>
    <w:rsid w:val="00D41FCD"/>
    <w:rsid w:val="00D536E7"/>
    <w:rsid w:val="00D6276F"/>
    <w:rsid w:val="00D66472"/>
    <w:rsid w:val="00D840D1"/>
    <w:rsid w:val="00D876A4"/>
    <w:rsid w:val="00DA251C"/>
    <w:rsid w:val="00DA7E87"/>
    <w:rsid w:val="00DA7F0C"/>
    <w:rsid w:val="00DB4FC2"/>
    <w:rsid w:val="00DB5675"/>
    <w:rsid w:val="00DC7DEF"/>
    <w:rsid w:val="00DD6181"/>
    <w:rsid w:val="00DE368E"/>
    <w:rsid w:val="00DE7A87"/>
    <w:rsid w:val="00E02181"/>
    <w:rsid w:val="00E03F9E"/>
    <w:rsid w:val="00E06881"/>
    <w:rsid w:val="00E13A19"/>
    <w:rsid w:val="00E160C7"/>
    <w:rsid w:val="00E2040A"/>
    <w:rsid w:val="00E2084E"/>
    <w:rsid w:val="00E23B4F"/>
    <w:rsid w:val="00E2647E"/>
    <w:rsid w:val="00E274DC"/>
    <w:rsid w:val="00E46F58"/>
    <w:rsid w:val="00E50F08"/>
    <w:rsid w:val="00E60D8A"/>
    <w:rsid w:val="00E6629D"/>
    <w:rsid w:val="00E74060"/>
    <w:rsid w:val="00E77585"/>
    <w:rsid w:val="00E83A3F"/>
    <w:rsid w:val="00E84EC5"/>
    <w:rsid w:val="00EA6B6D"/>
    <w:rsid w:val="00EB4208"/>
    <w:rsid w:val="00EC7750"/>
    <w:rsid w:val="00ED1D20"/>
    <w:rsid w:val="00ED24F2"/>
    <w:rsid w:val="00EF65C2"/>
    <w:rsid w:val="00F03AF5"/>
    <w:rsid w:val="00F25209"/>
    <w:rsid w:val="00F4020E"/>
    <w:rsid w:val="00F5222E"/>
    <w:rsid w:val="00F76B2A"/>
    <w:rsid w:val="00F838BA"/>
    <w:rsid w:val="00F8439F"/>
    <w:rsid w:val="00FA484B"/>
    <w:rsid w:val="00FA6DE6"/>
    <w:rsid w:val="00FB489F"/>
    <w:rsid w:val="00FD76C4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386"/>
    <w:pPr>
      <w:spacing w:after="0" w:line="240" w:lineRule="auto"/>
    </w:pPr>
    <w:rPr>
      <w:rFonts w:ascii="Tahoma" w:hAnsi="Tahom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59F3"/>
    <w:rPr>
      <w:color w:val="0000FF"/>
      <w:u w:val="single"/>
    </w:rPr>
  </w:style>
  <w:style w:type="paragraph" w:customStyle="1" w:styleId="Default">
    <w:name w:val="Default"/>
    <w:rsid w:val="00942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05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SEICPT12</cp:lastModifiedBy>
  <cp:revision>56</cp:revision>
  <cp:lastPrinted>2025-04-09T12:04:00Z</cp:lastPrinted>
  <dcterms:created xsi:type="dcterms:W3CDTF">2024-11-04T08:22:00Z</dcterms:created>
  <dcterms:modified xsi:type="dcterms:W3CDTF">2025-12-23T08:26:00Z</dcterms:modified>
</cp:coreProperties>
</file>